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p>
    <w:p>
      <w:pPr>
        <w:adjustRightInd w:val="0"/>
        <w:snapToGrid w:val="0"/>
        <w:spacing w:line="560" w:lineRule="exact"/>
        <w:ind w:firstLine="5569" w:firstLineChars="1849"/>
        <w:rPr>
          <w:rFonts w:hint="eastAsia" w:ascii="楷体" w:hAnsi="楷体" w:eastAsia="楷体"/>
          <w:b/>
          <w:bCs/>
          <w:sz w:val="30"/>
          <w:szCs w:val="30"/>
        </w:rPr>
      </w:pPr>
      <w:r>
        <w:rPr>
          <w:rFonts w:hint="eastAsia" w:ascii="楷体" w:hAnsi="楷体" w:eastAsia="楷体"/>
          <w:b/>
          <w:bCs/>
          <w:sz w:val="30"/>
          <w:szCs w:val="30"/>
        </w:rPr>
        <w:t xml:space="preserve"> </w:t>
      </w:r>
    </w:p>
    <w:p>
      <w:pPr>
        <w:adjustRightInd w:val="0"/>
        <w:snapToGrid w:val="0"/>
        <w:spacing w:line="560" w:lineRule="exact"/>
        <w:rPr>
          <w:rFonts w:hint="eastAsia" w:ascii="宋体" w:hAnsi="宋体"/>
          <w:b/>
          <w:bCs/>
          <w:sz w:val="30"/>
          <w:szCs w:val="30"/>
        </w:rPr>
      </w:pPr>
      <w:r>
        <w:rPr>
          <w:rFonts w:hint="eastAsia" w:ascii="楷体_GB2312" w:hAnsi="楷体" w:eastAsia="楷体_GB2312"/>
          <w:b/>
          <w:bCs/>
          <w:sz w:val="30"/>
          <w:szCs w:val="30"/>
        </w:rPr>
        <w:t xml:space="preserve">                          </w:t>
      </w:r>
      <w:r>
        <w:rPr>
          <w:rFonts w:hint="eastAsia" w:ascii="宋体" w:hAnsi="宋体"/>
          <w:b/>
          <w:bCs/>
          <w:sz w:val="30"/>
          <w:szCs w:val="30"/>
        </w:rPr>
        <w:t xml:space="preserve"> 事证第12430811770072000R号</w:t>
      </w:r>
    </w:p>
    <w:p>
      <w:pPr>
        <w:adjustRightInd w:val="0"/>
        <w:snapToGrid w:val="0"/>
        <w:spacing w:line="560" w:lineRule="exact"/>
        <w:jc w:val="right"/>
        <w:rPr>
          <w:rFonts w:hint="eastAsia"/>
        </w:rPr>
      </w:pPr>
      <w:r>
        <w:t xml:space="preserve"> </w:t>
      </w:r>
    </w:p>
    <w:p>
      <w:pPr>
        <w:adjustRightInd w:val="0"/>
        <w:snapToGrid w:val="0"/>
        <w:spacing w:line="560" w:lineRule="exact"/>
        <w:jc w:val="right"/>
      </w:pPr>
      <w:r>
        <w:t xml:space="preserve"> </w:t>
      </w:r>
    </w:p>
    <w:p>
      <w:pPr>
        <w:adjustRightInd w:val="0"/>
        <w:snapToGrid w:val="0"/>
        <w:spacing w:line="560" w:lineRule="exact"/>
        <w:jc w:val="right"/>
      </w:pPr>
      <w:r>
        <w:rPr>
          <w:rFonts w:hint="eastAsia"/>
        </w:rPr>
        <w:t xml:space="preserve"> </w:t>
      </w:r>
    </w:p>
    <w:p>
      <w:pPr>
        <w:adjustRightInd w:val="0"/>
        <w:snapToGrid w:val="0"/>
        <w:spacing w:line="560" w:lineRule="exact"/>
        <w:jc w:val="right"/>
        <w:rPr>
          <w:rFonts w:hint="eastAsia"/>
        </w:rPr>
      </w:pPr>
      <w:r>
        <w:rPr>
          <w:rFonts w:hint="eastAsia"/>
        </w:rPr>
        <w:t xml:space="preserve"> </w:t>
      </w:r>
    </w:p>
    <w:p>
      <w:pPr>
        <w:adjustRightInd w:val="0"/>
        <w:snapToGrid w:val="0"/>
        <w:spacing w:line="560" w:lineRule="exact"/>
        <w:jc w:val="right"/>
        <w:rPr>
          <w:rFonts w:hint="eastAsia"/>
        </w:rPr>
      </w:pPr>
      <w:r>
        <w:t xml:space="preserve"> </w:t>
      </w:r>
    </w:p>
    <w:p>
      <w:pPr>
        <w:adjustRightInd w:val="0"/>
        <w:snapToGrid w:val="0"/>
        <w:spacing w:line="560" w:lineRule="exact"/>
        <w:jc w:val="center"/>
        <w:rPr>
          <w:rFonts w:hint="eastAsia" w:ascii="黑体" w:hAnsi="黑体" w:eastAsia="黑体" w:cs="黑体"/>
          <w:b/>
          <w:bCs/>
          <w:spacing w:val="40"/>
          <w:sz w:val="52"/>
          <w:szCs w:val="52"/>
        </w:rPr>
      </w:pPr>
      <w:r>
        <w:rPr>
          <w:rFonts w:hint="eastAsia" w:ascii="黑体" w:hAnsi="黑体" w:eastAsia="黑体" w:cs="黑体"/>
          <w:b/>
          <w:bCs/>
          <w:spacing w:val="40"/>
          <w:sz w:val="52"/>
          <w:szCs w:val="52"/>
          <w:lang w:val="en-US" w:eastAsia="zh-CN"/>
        </w:rPr>
        <w:t xml:space="preserve"> </w:t>
      </w:r>
      <w:r>
        <w:rPr>
          <w:rFonts w:hint="eastAsia" w:ascii="黑体" w:hAnsi="黑体" w:eastAsia="黑体" w:cs="黑体"/>
          <w:b/>
          <w:bCs/>
          <w:spacing w:val="40"/>
          <w:sz w:val="52"/>
          <w:szCs w:val="52"/>
        </w:rPr>
        <w:t>事业单位法人年度报告书</w:t>
      </w:r>
    </w:p>
    <w:p>
      <w:pPr>
        <w:adjustRightInd w:val="0"/>
        <w:snapToGrid w:val="0"/>
        <w:spacing w:line="560" w:lineRule="exact"/>
        <w:jc w:val="center"/>
        <w:rPr>
          <w:rFonts w:eastAsia="黑体"/>
          <w:b/>
          <w:bCs/>
          <w:spacing w:val="30"/>
        </w:rPr>
      </w:pPr>
      <w:r>
        <w:rPr>
          <w:rFonts w:hint="eastAsia" w:eastAsia="黑体"/>
          <w:b/>
          <w:bCs/>
          <w:spacing w:val="30"/>
        </w:rPr>
        <w:t xml:space="preserve"> </w:t>
      </w:r>
    </w:p>
    <w:p>
      <w:pPr>
        <w:adjustRightInd w:val="0"/>
        <w:snapToGrid w:val="0"/>
        <w:spacing w:line="560" w:lineRule="exact"/>
        <w:jc w:val="center"/>
        <w:rPr>
          <w:rFonts w:hint="eastAsia" w:eastAsia="黑体"/>
          <w:b/>
          <w:bCs/>
          <w:spacing w:val="30"/>
        </w:rPr>
      </w:pPr>
      <w:r>
        <w:rPr>
          <w:rFonts w:hint="eastAsia" w:eastAsia="黑体"/>
          <w:b/>
          <w:bCs/>
          <w:spacing w:val="30"/>
        </w:rPr>
        <w:t xml:space="preserve"> </w:t>
      </w:r>
    </w:p>
    <w:p>
      <w:pPr>
        <w:adjustRightInd w:val="0"/>
        <w:snapToGrid w:val="0"/>
        <w:spacing w:line="560" w:lineRule="exact"/>
        <w:jc w:val="center"/>
        <w:rPr>
          <w:rFonts w:hint="eastAsia" w:eastAsia="楷体_GB2312"/>
          <w:b/>
          <w:bCs/>
          <w:spacing w:val="30"/>
          <w:sz w:val="36"/>
          <w:szCs w:val="36"/>
        </w:rPr>
      </w:pPr>
      <w:r>
        <w:rPr>
          <w:rFonts w:hint="eastAsia" w:ascii="楷体_GB2312" w:eastAsia="楷体_GB2312"/>
          <w:b/>
          <w:bCs/>
          <w:spacing w:val="30"/>
          <w:sz w:val="36"/>
          <w:szCs w:val="36"/>
        </w:rPr>
        <w:t>（</w:t>
      </w:r>
      <w:r>
        <w:rPr>
          <w:rFonts w:hint="eastAsia" w:eastAsia="楷体_GB2312"/>
          <w:b/>
          <w:bCs/>
          <w:spacing w:val="30"/>
          <w:sz w:val="36"/>
          <w:szCs w:val="36"/>
          <w:lang w:eastAsia="zh-CN"/>
        </w:rPr>
        <w:t>202</w:t>
      </w:r>
      <w:r>
        <w:rPr>
          <w:rFonts w:hint="eastAsia" w:eastAsia="楷体_GB2312"/>
          <w:b/>
          <w:bCs/>
          <w:spacing w:val="30"/>
          <w:sz w:val="36"/>
          <w:szCs w:val="36"/>
          <w:lang w:val="en-US" w:eastAsia="zh-CN"/>
        </w:rPr>
        <w:t>3</w:t>
      </w:r>
      <w:r>
        <w:rPr>
          <w:rFonts w:hint="eastAsia" w:ascii="楷体_GB2312" w:hAnsi="楷体" w:eastAsia="楷体_GB2312"/>
          <w:b/>
          <w:bCs/>
          <w:spacing w:val="30"/>
          <w:sz w:val="36"/>
          <w:szCs w:val="36"/>
        </w:rPr>
        <w:t>年度</w:t>
      </w:r>
      <w:r>
        <w:rPr>
          <w:rFonts w:hint="eastAsia" w:ascii="楷体_GB2312" w:eastAsia="楷体_GB2312"/>
          <w:b/>
          <w:bCs/>
          <w:spacing w:val="30"/>
          <w:sz w:val="36"/>
          <w:szCs w:val="36"/>
        </w:rPr>
        <w:t>）</w:t>
      </w:r>
    </w:p>
    <w:p>
      <w:pPr>
        <w:adjustRightInd w:val="0"/>
        <w:snapToGrid w:val="0"/>
        <w:spacing w:line="560" w:lineRule="exact"/>
        <w:jc w:val="center"/>
        <w:rPr>
          <w:sz w:val="36"/>
          <w:szCs w:val="36"/>
        </w:rPr>
      </w:pPr>
      <w:r>
        <w:rPr>
          <w:sz w:val="36"/>
          <w:szCs w:val="36"/>
        </w:rPr>
        <w:t xml:space="preserve"> </w:t>
      </w:r>
    </w:p>
    <w:p>
      <w:pPr>
        <w:adjustRightInd w:val="0"/>
        <w:snapToGrid w:val="0"/>
        <w:spacing w:line="560" w:lineRule="exact"/>
        <w:jc w:val="center"/>
        <w:rPr>
          <w:sz w:val="36"/>
          <w:szCs w:val="36"/>
        </w:rPr>
      </w:pPr>
      <w:r>
        <w:rPr>
          <w:sz w:val="36"/>
          <w:szCs w:val="36"/>
        </w:rPr>
        <w:t xml:space="preserve"> </w:t>
      </w:r>
    </w:p>
    <w:p>
      <w:pPr>
        <w:adjustRightInd w:val="0"/>
        <w:snapToGrid w:val="0"/>
        <w:spacing w:line="560" w:lineRule="exact"/>
        <w:ind w:firstLine="1084" w:firstLineChars="300"/>
        <w:rPr>
          <w:rFonts w:ascii="黑体" w:eastAsia="黑体"/>
          <w:b/>
          <w:bCs/>
          <w:spacing w:val="-20"/>
          <w:sz w:val="28"/>
          <w:szCs w:val="28"/>
          <w:u w:val="single"/>
        </w:rPr>
      </w:pPr>
      <w:r>
        <w:rPr>
          <w:rFonts w:hint="eastAsia" w:ascii="黑体" w:hAnsi="黑体" w:eastAsia="黑体"/>
          <w:b/>
          <w:bCs/>
          <w:sz w:val="36"/>
          <w:szCs w:val="36"/>
        </w:rPr>
        <w:t>单</w:t>
      </w:r>
      <w:r>
        <w:rPr>
          <w:rFonts w:hint="eastAsia" w:ascii="黑体" w:eastAsia="黑体"/>
          <w:b/>
          <w:bCs/>
          <w:sz w:val="36"/>
          <w:szCs w:val="36"/>
        </w:rPr>
        <w:t xml:space="preserve"> </w:t>
      </w:r>
      <w:r>
        <w:rPr>
          <w:rFonts w:hint="eastAsia" w:ascii="黑体" w:hAnsi="黑体" w:eastAsia="黑体"/>
          <w:b/>
          <w:bCs/>
          <w:sz w:val="36"/>
          <w:szCs w:val="36"/>
        </w:rPr>
        <w:t>位</w:t>
      </w:r>
      <w:r>
        <w:rPr>
          <w:rFonts w:hint="eastAsia" w:ascii="黑体" w:eastAsia="黑体"/>
          <w:b/>
          <w:bCs/>
          <w:sz w:val="36"/>
          <w:szCs w:val="36"/>
        </w:rPr>
        <w:t xml:space="preserve"> </w:t>
      </w:r>
      <w:r>
        <w:rPr>
          <w:rFonts w:hint="eastAsia" w:ascii="黑体" w:hAnsi="黑体" w:eastAsia="黑体"/>
          <w:b/>
          <w:bCs/>
          <w:sz w:val="36"/>
          <w:szCs w:val="36"/>
        </w:rPr>
        <w:t>名</w:t>
      </w:r>
      <w:r>
        <w:rPr>
          <w:rFonts w:hint="eastAsia" w:ascii="黑体" w:hAnsi="黑体" w:eastAsia="黑体"/>
          <w:b/>
          <w:bCs/>
          <w:sz w:val="36"/>
          <w:szCs w:val="36"/>
          <w:lang w:val="en-US" w:eastAsia="zh-CN"/>
        </w:rPr>
        <w:t xml:space="preserve"> </w:t>
      </w:r>
      <w:r>
        <w:rPr>
          <w:rFonts w:hint="eastAsia" w:ascii="黑体" w:hAnsi="黑体" w:eastAsia="黑体"/>
          <w:b/>
          <w:bCs/>
          <w:sz w:val="36"/>
          <w:szCs w:val="36"/>
        </w:rPr>
        <w:t>称</w:t>
      </w:r>
      <w:r>
        <w:rPr>
          <w:rFonts w:hint="eastAsia" w:ascii="黑体" w:eastAsia="黑体"/>
          <w:b/>
          <w:bCs/>
          <w:sz w:val="36"/>
          <w:szCs w:val="36"/>
        </w:rPr>
        <w:t xml:space="preserve"> </w:t>
      </w:r>
      <w:r>
        <w:rPr>
          <w:rFonts w:hint="eastAsia" w:ascii="黑体" w:eastAsia="黑体"/>
          <w:b/>
          <w:bCs/>
          <w:spacing w:val="-20"/>
          <w:sz w:val="28"/>
          <w:szCs w:val="28"/>
          <w:u w:val="single"/>
        </w:rPr>
        <w:t xml:space="preserve">  </w:t>
      </w:r>
      <w:r>
        <w:rPr>
          <w:rFonts w:hint="eastAsia" w:ascii="楷体" w:hAnsi="楷体" w:eastAsia="楷体" w:cs="楷体"/>
          <w:b/>
          <w:bCs/>
          <w:spacing w:val="-20"/>
          <w:sz w:val="36"/>
          <w:szCs w:val="36"/>
          <w:u w:val="single"/>
        </w:rPr>
        <w:t xml:space="preserve">张家界市武陵源区师资培训中心 </w:t>
      </w:r>
      <w:r>
        <w:rPr>
          <w:rFonts w:ascii="华文中宋" w:hAnsi="华文中宋"/>
          <w:b/>
          <w:bCs/>
          <w:spacing w:val="-20"/>
          <w:sz w:val="32"/>
          <w:szCs w:val="32"/>
          <w:u w:val="single"/>
        </w:rPr>
        <w:t xml:space="preserve"> </w:t>
      </w:r>
    </w:p>
    <w:p>
      <w:pPr>
        <w:adjustRightInd w:val="0"/>
        <w:snapToGrid w:val="0"/>
        <w:spacing w:line="560" w:lineRule="exact"/>
        <w:ind w:firstLine="1446" w:firstLineChars="400"/>
        <w:rPr>
          <w:rFonts w:hint="eastAsia" w:ascii="黑体" w:eastAsia="黑体"/>
          <w:b/>
          <w:bCs/>
          <w:sz w:val="36"/>
          <w:szCs w:val="36"/>
        </w:rPr>
      </w:pPr>
      <w:r>
        <w:rPr>
          <w:rFonts w:hint="eastAsia" w:ascii="黑体" w:eastAsia="黑体"/>
          <w:b/>
          <w:bCs/>
          <w:sz w:val="36"/>
          <w:szCs w:val="36"/>
        </w:rPr>
        <w:t xml:space="preserve"> </w:t>
      </w:r>
    </w:p>
    <w:p>
      <w:pPr>
        <w:adjustRightInd w:val="0"/>
        <w:snapToGrid w:val="0"/>
        <w:spacing w:line="560" w:lineRule="exact"/>
        <w:ind w:firstLine="1084" w:firstLineChars="300"/>
        <w:rPr>
          <w:rFonts w:hint="eastAsia" w:ascii="黑体" w:eastAsia="黑体"/>
          <w:b/>
          <w:bCs/>
          <w:sz w:val="28"/>
          <w:szCs w:val="28"/>
          <w:u w:val="single"/>
        </w:rPr>
      </w:pPr>
      <w:r>
        <w:rPr>
          <w:rFonts w:hint="eastAsia" w:ascii="黑体" w:hAnsi="黑体" w:eastAsia="黑体"/>
          <w:b/>
          <w:bCs/>
          <w:sz w:val="36"/>
          <w:szCs w:val="36"/>
        </w:rPr>
        <w:t>举</w:t>
      </w:r>
      <w:r>
        <w:rPr>
          <w:rFonts w:hint="eastAsia" w:ascii="黑体" w:eastAsia="黑体"/>
          <w:b/>
          <w:bCs/>
          <w:sz w:val="36"/>
          <w:szCs w:val="36"/>
        </w:rPr>
        <w:t xml:space="preserve"> </w:t>
      </w:r>
      <w:r>
        <w:rPr>
          <w:rFonts w:hint="eastAsia" w:ascii="黑体" w:hAnsi="黑体" w:eastAsia="黑体"/>
          <w:b/>
          <w:bCs/>
          <w:sz w:val="36"/>
          <w:szCs w:val="36"/>
        </w:rPr>
        <w:t>办</w:t>
      </w:r>
      <w:r>
        <w:rPr>
          <w:rFonts w:hint="eastAsia" w:ascii="黑体" w:eastAsia="黑体"/>
          <w:b/>
          <w:bCs/>
          <w:sz w:val="36"/>
          <w:szCs w:val="36"/>
        </w:rPr>
        <w:t xml:space="preserve"> </w:t>
      </w:r>
      <w:r>
        <w:rPr>
          <w:rFonts w:hint="eastAsia" w:ascii="黑体" w:hAnsi="黑体" w:eastAsia="黑体"/>
          <w:b/>
          <w:bCs/>
          <w:sz w:val="36"/>
          <w:szCs w:val="36"/>
        </w:rPr>
        <w:t>单</w:t>
      </w:r>
      <w:r>
        <w:rPr>
          <w:rFonts w:hint="eastAsia" w:ascii="黑体" w:eastAsia="黑体"/>
          <w:b/>
          <w:bCs/>
          <w:sz w:val="36"/>
          <w:szCs w:val="36"/>
        </w:rPr>
        <w:t xml:space="preserve"> </w:t>
      </w:r>
      <w:r>
        <w:rPr>
          <w:rFonts w:hint="eastAsia" w:ascii="黑体" w:hAnsi="黑体" w:eastAsia="黑体"/>
          <w:b/>
          <w:bCs/>
          <w:sz w:val="36"/>
          <w:szCs w:val="36"/>
        </w:rPr>
        <w:t>位</w:t>
      </w:r>
      <w:r>
        <w:rPr>
          <w:rFonts w:hint="eastAsia" w:ascii="黑体" w:eastAsia="黑体"/>
          <w:b/>
          <w:bCs/>
          <w:sz w:val="36"/>
          <w:szCs w:val="36"/>
          <w:u w:val="single"/>
        </w:rPr>
        <w:t xml:space="preserve">  </w:t>
      </w:r>
      <w:r>
        <w:rPr>
          <w:rFonts w:hint="eastAsia" w:ascii="楷体" w:hAnsi="楷体" w:eastAsia="楷体" w:cs="楷体"/>
          <w:b/>
          <w:bCs/>
          <w:sz w:val="36"/>
          <w:szCs w:val="36"/>
          <w:u w:val="single"/>
        </w:rPr>
        <w:t>张家界市武陵源区教育局</w:t>
      </w:r>
      <w:r>
        <w:rPr>
          <w:rFonts w:ascii="华文中宋" w:hAnsi="华文中宋"/>
          <w:b/>
          <w:bCs/>
          <w:sz w:val="30"/>
          <w:szCs w:val="30"/>
          <w:u w:val="single"/>
        </w:rPr>
        <w:t xml:space="preserve"> </w:t>
      </w:r>
      <w:r>
        <w:rPr>
          <w:rFonts w:ascii="华文中宋" w:hAnsi="华文中宋"/>
          <w:b/>
          <w:bCs/>
          <w:sz w:val="28"/>
          <w:szCs w:val="28"/>
          <w:u w:val="single"/>
        </w:rPr>
        <w:t xml:space="preserve">  </w:t>
      </w:r>
      <w:r>
        <w:rPr>
          <w:rFonts w:hint="eastAsia" w:ascii="黑体" w:eastAsia="黑体"/>
          <w:b/>
          <w:bCs/>
          <w:sz w:val="28"/>
          <w:szCs w:val="28"/>
          <w:u w:val="single"/>
        </w:rPr>
        <w:t xml:space="preserve">  </w:t>
      </w:r>
      <w:r>
        <w:rPr>
          <w:rFonts w:hint="eastAsia" w:ascii="黑体" w:eastAsia="黑体"/>
          <w:b/>
          <w:bCs/>
          <w:sz w:val="28"/>
          <w:szCs w:val="28"/>
          <w:u w:val="none"/>
        </w:rPr>
        <w:t xml:space="preserve"> </w:t>
      </w:r>
    </w:p>
    <w:p>
      <w:pPr>
        <w:adjustRightInd w:val="0"/>
        <w:snapToGrid w:val="0"/>
        <w:spacing w:line="560" w:lineRule="exact"/>
        <w:rPr>
          <w:rFonts w:hint="eastAsia" w:ascii="黑体" w:eastAsia="黑体"/>
          <w:b/>
          <w:bCs/>
          <w:sz w:val="24"/>
          <w:szCs w:val="24"/>
          <w:u w:val="single"/>
        </w:rPr>
      </w:pPr>
    </w:p>
    <w:p>
      <w:pPr>
        <w:adjustRightInd w:val="0"/>
        <w:snapToGrid w:val="0"/>
        <w:spacing w:line="560" w:lineRule="exact"/>
        <w:ind w:firstLine="1084" w:firstLineChars="300"/>
        <w:rPr>
          <w:rFonts w:hint="eastAsia" w:ascii="黑体" w:eastAsia="黑体"/>
          <w:b/>
          <w:bCs/>
          <w:sz w:val="36"/>
          <w:szCs w:val="36"/>
          <w:u w:val="single"/>
        </w:rPr>
      </w:pPr>
      <w:r>
        <w:rPr>
          <w:rFonts w:hint="eastAsia" w:ascii="黑体" w:hAnsi="黑体" w:eastAsia="黑体"/>
          <w:b/>
          <w:bCs/>
          <w:sz w:val="36"/>
          <w:szCs w:val="36"/>
        </w:rPr>
        <w:t>法</w:t>
      </w:r>
      <w:r>
        <w:rPr>
          <w:rFonts w:hint="eastAsia" w:ascii="黑体" w:hAnsi="黑体" w:eastAsia="黑体"/>
          <w:b/>
          <w:bCs/>
          <w:spacing w:val="30"/>
          <w:sz w:val="36"/>
          <w:szCs w:val="36"/>
        </w:rPr>
        <w:t>定代表</w:t>
      </w:r>
      <w:r>
        <w:rPr>
          <w:rFonts w:hint="eastAsia" w:ascii="黑体" w:hAnsi="黑体" w:eastAsia="黑体"/>
          <w:b/>
          <w:bCs/>
          <w:sz w:val="36"/>
          <w:szCs w:val="36"/>
        </w:rPr>
        <w:t>人</w:t>
      </w:r>
      <w:r>
        <w:rPr>
          <w:rFonts w:hint="eastAsia" w:ascii="黑体" w:eastAsia="黑体"/>
          <w:b/>
          <w:bCs/>
          <w:sz w:val="36"/>
          <w:szCs w:val="36"/>
          <w:u w:val="single"/>
        </w:rPr>
        <w:t xml:space="preserve">     </w:t>
      </w:r>
      <w:r>
        <w:rPr>
          <w:rFonts w:hint="eastAsia" w:ascii="黑体" w:eastAsia="黑体"/>
          <w:b/>
          <w:bCs/>
          <w:sz w:val="30"/>
          <w:szCs w:val="30"/>
          <w:u w:val="single"/>
        </w:rPr>
        <w:t xml:space="preserve"> </w:t>
      </w:r>
      <w:r>
        <w:rPr>
          <w:rFonts w:hint="eastAsia" w:ascii="黑体" w:eastAsia="黑体"/>
          <w:b/>
          <w:bCs/>
          <w:sz w:val="30"/>
          <w:szCs w:val="30"/>
          <w:u w:val="single"/>
          <w:lang w:val="en-US" w:eastAsia="zh-CN"/>
        </w:rPr>
        <w:t xml:space="preserve">   </w:t>
      </w:r>
      <w:r>
        <w:rPr>
          <w:rFonts w:hint="eastAsia" w:ascii="楷体" w:hAnsi="楷体" w:eastAsia="楷体" w:cs="楷体"/>
          <w:b/>
          <w:bCs/>
          <w:sz w:val="36"/>
          <w:szCs w:val="36"/>
          <w:u w:val="single"/>
        </w:rPr>
        <w:t>唐</w:t>
      </w:r>
      <w:r>
        <w:rPr>
          <w:rFonts w:hint="eastAsia" w:ascii="楷体" w:hAnsi="楷体" w:eastAsia="楷体" w:cs="楷体"/>
          <w:b/>
          <w:bCs/>
          <w:sz w:val="36"/>
          <w:szCs w:val="36"/>
          <w:u w:val="single"/>
          <w:lang w:val="en-US" w:eastAsia="zh-CN"/>
        </w:rPr>
        <w:t xml:space="preserve"> 彩 虹</w:t>
      </w:r>
      <w:r>
        <w:rPr>
          <w:rFonts w:hint="eastAsia" w:ascii="黑体" w:eastAsia="黑体"/>
          <w:b/>
          <w:bCs/>
          <w:spacing w:val="113"/>
          <w:sz w:val="30"/>
          <w:szCs w:val="30"/>
          <w:u w:val="single"/>
        </w:rPr>
        <w:t xml:space="preserve"> </w:t>
      </w:r>
      <w:r>
        <w:rPr>
          <w:rFonts w:hint="eastAsia" w:ascii="黑体" w:eastAsia="黑体"/>
          <w:b/>
          <w:bCs/>
          <w:sz w:val="30"/>
          <w:szCs w:val="30"/>
          <w:u w:val="single"/>
        </w:rPr>
        <w:t xml:space="preserve">      </w:t>
      </w:r>
      <w:r>
        <w:rPr>
          <w:rFonts w:hint="eastAsia" w:ascii="黑体" w:eastAsia="黑体"/>
          <w:b/>
          <w:bCs/>
          <w:sz w:val="36"/>
          <w:szCs w:val="36"/>
          <w:u w:val="single"/>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lang w:val="en-US" w:eastAsia="zh-CN"/>
        </w:rPr>
        <w:t xml:space="preserve">    </w:t>
      </w:r>
      <w:r>
        <w:rPr>
          <w:rFonts w:hint="eastAsia" w:ascii="楷体_GB2312" w:hAnsi="楷体" w:eastAsia="楷体_GB2312"/>
          <w:b/>
          <w:bCs/>
          <w:sz w:val="32"/>
          <w:szCs w:val="32"/>
        </w:rPr>
        <w:t>张家界市武陵源区事业单位登记管理局制</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40"/>
        <w:gridCol w:w="556"/>
        <w:gridCol w:w="1963"/>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restart"/>
            <w:tcBorders>
              <w:top w:val="single" w:color="auto" w:sz="12" w:space="0"/>
              <w:left w:val="single" w:color="auto" w:sz="12" w:space="0"/>
              <w:bottom w:val="single" w:color="auto" w:sz="8"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《事业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单 位</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法 人</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证书》</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登 载</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事 项</w:t>
            </w:r>
          </w:p>
        </w:tc>
        <w:tc>
          <w:tcPr>
            <w:tcW w:w="1996" w:type="dxa"/>
            <w:gridSpan w:val="2"/>
            <w:tcBorders>
              <w:top w:val="single" w:color="auto" w:sz="12"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单位名称</w:t>
            </w:r>
          </w:p>
        </w:tc>
        <w:tc>
          <w:tcPr>
            <w:tcW w:w="5924" w:type="dxa"/>
            <w:gridSpan w:val="2"/>
            <w:tcBorders>
              <w:top w:val="single" w:color="auto" w:sz="12" w:space="0"/>
              <w:left w:val="nil"/>
              <w:bottom w:val="single" w:color="auto" w:sz="4" w:space="0"/>
              <w:right w:val="single" w:color="auto" w:sz="12" w:space="0"/>
            </w:tcBorders>
            <w:vAlign w:val="center"/>
          </w:tcPr>
          <w:p>
            <w:pPr>
              <w:adjustRightInd w:val="0"/>
              <w:snapToGrid w:val="0"/>
              <w:spacing w:line="560" w:lineRule="exact"/>
              <w:rPr>
                <w:rFonts w:ascii="楷体_GB2312" w:hAnsi="楷体" w:eastAsia="楷体_GB2312"/>
                <w:b/>
                <w:bCs/>
                <w:sz w:val="32"/>
                <w:szCs w:val="32"/>
              </w:rPr>
            </w:pPr>
            <w:r>
              <w:rPr>
                <w:rFonts w:hint="eastAsia" w:ascii="楷体_GB2312" w:hAnsi="楷体" w:eastAsia="楷体_GB2312"/>
                <w:b/>
                <w:bCs/>
                <w:sz w:val="32"/>
                <w:szCs w:val="32"/>
              </w:rPr>
              <w:t>张家界市武陵源区师资培训中心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宗 旨 和</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业务范围</w:t>
            </w:r>
          </w:p>
        </w:tc>
        <w:tc>
          <w:tcPr>
            <w:tcW w:w="5924" w:type="dxa"/>
            <w:gridSpan w:val="2"/>
            <w:tcBorders>
              <w:top w:val="single" w:color="auto" w:sz="4" w:space="0"/>
              <w:left w:val="nil"/>
              <w:bottom w:val="single" w:color="auto" w:sz="4" w:space="0"/>
              <w:right w:val="single" w:color="auto" w:sz="12" w:space="0"/>
            </w:tcBorders>
            <w:vAlign w:val="center"/>
          </w:tcPr>
          <w:p>
            <w:pPr>
              <w:autoSpaceDE w:val="0"/>
              <w:adjustRightInd w:val="0"/>
              <w:snapToGrid w:val="0"/>
              <w:spacing w:line="400" w:lineRule="exact"/>
              <w:jc w:val="left"/>
              <w:rPr>
                <w:rFonts w:hint="eastAsia" w:ascii="楷体" w:hAnsi="楷体" w:eastAsia="楷体"/>
                <w:b/>
                <w:bCs/>
                <w:color w:val="000000"/>
                <w:sz w:val="32"/>
                <w:szCs w:val="32"/>
              </w:rPr>
            </w:pPr>
            <w:r>
              <w:rPr>
                <w:rFonts w:hint="eastAsia" w:ascii="楷体" w:hAnsi="楷体" w:eastAsia="楷体"/>
                <w:b/>
                <w:bCs/>
                <w:color w:val="000000"/>
                <w:kern w:val="0"/>
                <w:sz w:val="28"/>
                <w:szCs w:val="28"/>
              </w:rPr>
              <w:t xml:space="preserve">  从事教师培训</w:t>
            </w:r>
            <w:r>
              <w:rPr>
                <w:rFonts w:hint="eastAsia" w:ascii="楷体" w:hAnsi="楷体" w:eastAsia="楷体"/>
                <w:b/>
                <w:bCs/>
                <w:color w:val="000000"/>
                <w:kern w:val="0"/>
                <w:sz w:val="28"/>
                <w:szCs w:val="28"/>
                <w:lang w:val="en-US" w:eastAsia="zh-CN"/>
              </w:rPr>
              <w:t>管理</w:t>
            </w:r>
            <w:r>
              <w:rPr>
                <w:rFonts w:hint="eastAsia" w:ascii="楷体" w:hAnsi="楷体" w:eastAsia="楷体"/>
                <w:b/>
                <w:bCs/>
                <w:color w:val="000000"/>
                <w:kern w:val="0"/>
                <w:sz w:val="28"/>
                <w:szCs w:val="28"/>
              </w:rPr>
              <w:t>，促进教育事业发展</w:t>
            </w:r>
            <w:r>
              <w:rPr>
                <w:rFonts w:hint="eastAsia" w:ascii="楷体" w:hAnsi="楷体" w:eastAsia="楷体"/>
                <w:b/>
                <w:bCs/>
                <w:color w:val="000000"/>
                <w:kern w:val="0"/>
                <w:sz w:val="28"/>
                <w:szCs w:val="28"/>
                <w:lang w:eastAsia="zh-CN"/>
              </w:rPr>
              <w:t>；</w:t>
            </w:r>
            <w:r>
              <w:rPr>
                <w:rFonts w:hint="eastAsia" w:ascii="楷体" w:hAnsi="楷体" w:eastAsia="楷体"/>
                <w:b/>
                <w:bCs/>
                <w:color w:val="000000"/>
                <w:kern w:val="0"/>
                <w:sz w:val="28"/>
                <w:szCs w:val="28"/>
              </w:rPr>
              <w:t>制定教师培训规划，负责全区师资培训</w:t>
            </w:r>
            <w:r>
              <w:rPr>
                <w:rFonts w:hint="eastAsia" w:ascii="楷体" w:hAnsi="楷体" w:eastAsia="楷体"/>
                <w:b/>
                <w:bCs/>
                <w:color w:val="000000"/>
                <w:kern w:val="0"/>
                <w:sz w:val="28"/>
                <w:szCs w:val="28"/>
                <w:lang w:eastAsia="zh-CN"/>
              </w:rPr>
              <w:t>；</w:t>
            </w:r>
            <w:r>
              <w:rPr>
                <w:rFonts w:hint="eastAsia" w:ascii="楷体" w:hAnsi="楷体" w:eastAsia="楷体"/>
                <w:b/>
                <w:bCs/>
                <w:color w:val="000000"/>
                <w:kern w:val="0"/>
                <w:sz w:val="28"/>
                <w:szCs w:val="28"/>
                <w:lang w:val="en-US" w:eastAsia="zh-CN"/>
              </w:rPr>
              <w:t>负责全区教师继续教育和学分登记管理工作；</w:t>
            </w:r>
            <w:r>
              <w:rPr>
                <w:rFonts w:hint="eastAsia" w:ascii="楷体" w:hAnsi="楷体" w:eastAsia="楷体"/>
                <w:b/>
                <w:bCs/>
                <w:color w:val="000000"/>
                <w:kern w:val="0"/>
                <w:sz w:val="28"/>
                <w:szCs w:val="28"/>
              </w:rPr>
              <w:t>制定学校语言文字工作规划，负责指导语言文字达标校、示范校创建等。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住    所</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rPr>
                <w:rFonts w:ascii="楷体" w:hAnsi="楷体" w:eastAsia="楷体"/>
                <w:b/>
                <w:bCs/>
                <w:color w:val="000000"/>
                <w:sz w:val="28"/>
                <w:szCs w:val="28"/>
              </w:rPr>
            </w:pPr>
            <w:r>
              <w:rPr>
                <w:rFonts w:hint="eastAsia" w:ascii="楷体" w:hAnsi="楷体" w:eastAsia="楷体"/>
                <w:b/>
                <w:bCs/>
                <w:color w:val="000000"/>
                <w:sz w:val="28"/>
                <w:szCs w:val="28"/>
              </w:rPr>
              <w:t>张家界市武陵源区军地居委会军邸路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法定代表人</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both"/>
              <w:rPr>
                <w:rFonts w:hint="eastAsia" w:ascii="楷体" w:hAnsi="楷体" w:eastAsia="楷体"/>
                <w:b/>
                <w:bCs/>
                <w:color w:val="000000"/>
                <w:sz w:val="28"/>
                <w:szCs w:val="28"/>
                <w:lang w:val="en-US" w:eastAsia="zh-CN"/>
              </w:rPr>
            </w:pPr>
            <w:r>
              <w:rPr>
                <w:rFonts w:hint="eastAsia" w:ascii="楷体" w:hAnsi="楷体" w:eastAsia="楷体"/>
                <w:b/>
                <w:bCs/>
                <w:color w:val="000000"/>
                <w:kern w:val="0"/>
                <w:sz w:val="28"/>
                <w:szCs w:val="28"/>
              </w:rPr>
              <w:t>唐</w:t>
            </w:r>
            <w:r>
              <w:rPr>
                <w:rFonts w:hint="eastAsia" w:ascii="楷体" w:hAnsi="楷体" w:eastAsia="楷体"/>
                <w:b/>
                <w:bCs/>
                <w:color w:val="000000"/>
                <w:kern w:val="0"/>
                <w:sz w:val="28"/>
                <w:szCs w:val="28"/>
                <w:lang w:val="en-US" w:eastAsia="zh-CN"/>
              </w:rPr>
              <w:t>彩虹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开办资金</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both"/>
              <w:rPr>
                <w:rFonts w:ascii="楷体" w:hAnsi="楷体" w:eastAsia="楷体"/>
                <w:b/>
                <w:bCs/>
                <w:color w:val="000000"/>
                <w:sz w:val="28"/>
                <w:szCs w:val="28"/>
              </w:rPr>
            </w:pPr>
            <w:r>
              <w:rPr>
                <w:rFonts w:hint="eastAsia" w:ascii="楷体" w:hAnsi="楷体" w:eastAsia="楷体" w:cs="楷体"/>
                <w:b/>
                <w:bCs/>
                <w:color w:val="000000"/>
                <w:kern w:val="0"/>
                <w:sz w:val="28"/>
                <w:szCs w:val="28"/>
              </w:rPr>
              <w:t>10</w:t>
            </w:r>
            <w:r>
              <w:rPr>
                <w:rFonts w:hint="eastAsia" w:ascii="楷体" w:hAnsi="楷体" w:eastAsia="楷体"/>
                <w:b/>
                <w:bCs/>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经费来源</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both"/>
              <w:rPr>
                <w:rFonts w:ascii="楷体" w:hAnsi="楷体" w:eastAsia="楷体"/>
                <w:b/>
                <w:bCs/>
                <w:color w:val="000000"/>
                <w:sz w:val="28"/>
                <w:szCs w:val="28"/>
              </w:rPr>
            </w:pPr>
            <w:r>
              <w:rPr>
                <w:rFonts w:hint="eastAsia" w:ascii="楷体" w:hAnsi="楷体" w:eastAsia="楷体"/>
                <w:b/>
                <w:bCs/>
                <w:color w:val="000000"/>
                <w:sz w:val="28"/>
                <w:szCs w:val="28"/>
              </w:rPr>
              <w:t>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8"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举办单位</w:t>
            </w:r>
          </w:p>
        </w:tc>
        <w:tc>
          <w:tcPr>
            <w:tcW w:w="5924" w:type="dxa"/>
            <w:gridSpan w:val="2"/>
            <w:tcBorders>
              <w:top w:val="single" w:color="auto" w:sz="4" w:space="0"/>
              <w:left w:val="nil"/>
              <w:bottom w:val="single" w:color="auto" w:sz="8" w:space="0"/>
              <w:right w:val="single" w:color="auto" w:sz="12" w:space="0"/>
            </w:tcBorders>
            <w:vAlign w:val="center"/>
          </w:tcPr>
          <w:p>
            <w:pPr>
              <w:spacing w:line="560" w:lineRule="exact"/>
              <w:jc w:val="both"/>
              <w:rPr>
                <w:rFonts w:ascii="楷体" w:hAnsi="楷体" w:eastAsia="楷体"/>
                <w:b/>
                <w:bCs/>
                <w:color w:val="000000"/>
                <w:sz w:val="28"/>
                <w:szCs w:val="28"/>
              </w:rPr>
            </w:pPr>
            <w:r>
              <w:rPr>
                <w:rFonts w:hint="eastAsia" w:ascii="楷体" w:hAnsi="楷体" w:eastAsia="楷体"/>
                <w:b/>
                <w:bCs/>
                <w:color w:val="000000"/>
                <w:kern w:val="0"/>
                <w:sz w:val="28"/>
                <w:szCs w:val="28"/>
              </w:rPr>
              <w:t>张家界市武陵源区教育局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5" w:hRule="atLeast"/>
          <w:jc w:val="center"/>
        </w:trPr>
        <w:tc>
          <w:tcPr>
            <w:tcW w:w="1621" w:type="dxa"/>
            <w:tcBorders>
              <w:top w:val="single" w:color="auto" w:sz="8" w:space="0"/>
              <w:left w:val="single" w:color="auto" w:sz="12" w:space="0"/>
              <w:bottom w:val="single" w:color="auto" w:sz="12"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对《条</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例》和</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实施细</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则有关</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变更登</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记规定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的执行</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情  况</w:t>
            </w:r>
          </w:p>
        </w:tc>
        <w:tc>
          <w:tcPr>
            <w:tcW w:w="7920" w:type="dxa"/>
            <w:gridSpan w:val="4"/>
            <w:tcBorders>
              <w:top w:val="single" w:color="auto" w:sz="8" w:space="0"/>
              <w:left w:val="nil"/>
              <w:bottom w:val="single" w:color="auto" w:sz="12" w:space="0"/>
              <w:right w:val="single" w:color="auto" w:sz="12" w:space="0"/>
            </w:tcBorders>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及时登记</w:t>
            </w:r>
          </w:p>
          <w:p>
            <w:pPr>
              <w:spacing w:line="560" w:lineRule="exact"/>
              <w:rPr>
                <w:rFonts w:hint="eastAsia" w:ascii="楷体_GB2312" w:hAnsi="楷体" w:eastAsia="楷体"/>
                <w:b/>
                <w:bCs/>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9" w:hRule="atLeast"/>
          <w:jc w:val="center"/>
        </w:trPr>
        <w:tc>
          <w:tcPr>
            <w:tcW w:w="1621" w:type="dxa"/>
            <w:tcBorders>
              <w:top w:val="single" w:color="auto" w:sz="12" w:space="0"/>
              <w:left w:val="single" w:color="auto" w:sz="12"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开</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展</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务</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活</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动</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情</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况</w:t>
            </w:r>
          </w:p>
        </w:tc>
        <w:tc>
          <w:tcPr>
            <w:tcW w:w="7920" w:type="dxa"/>
            <w:gridSpan w:val="4"/>
            <w:tcBorders>
              <w:top w:val="single" w:color="auto" w:sz="12" w:space="0"/>
              <w:left w:val="single" w:color="auto" w:sz="4" w:space="0"/>
              <w:bottom w:val="single" w:color="auto" w:sz="4" w:space="0"/>
              <w:right w:val="single" w:color="auto" w:sz="12"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2023年，在上级主管部门的关心指导下，在局党组的正确领导下，我区师训和语言文字工作顺利开展。现将工作总结如下：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u w:val="none" w:color="auto"/>
                <w:lang w:val="en-US" w:eastAsia="zh-CN"/>
              </w:rPr>
            </w:pPr>
            <w:r>
              <w:rPr>
                <w:rFonts w:hint="eastAsia" w:ascii="宋体" w:hAnsi="宋体" w:eastAsia="宋体" w:cs="宋体"/>
                <w:b/>
                <w:bCs/>
                <w:sz w:val="24"/>
                <w:szCs w:val="24"/>
                <w:lang w:eastAsia="zh-CN"/>
              </w:rPr>
              <w:t>一、</w:t>
            </w:r>
            <w:r>
              <w:rPr>
                <w:rFonts w:hint="eastAsia" w:ascii="宋体" w:hAnsi="宋体" w:eastAsia="宋体" w:cs="宋体"/>
                <w:b/>
                <w:bCs/>
                <w:color w:val="auto"/>
                <w:sz w:val="24"/>
                <w:szCs w:val="24"/>
                <w:u w:val="none" w:color="auto"/>
                <w:lang w:val="en-US" w:eastAsia="zh-CN"/>
              </w:rPr>
              <w:t>师资培训工作有序开展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lang w:val="en-US" w:eastAsia="zh-CN"/>
              </w:rPr>
              <w:t>师训中心以“加强师德建设、提升专业素养、增强职业技能”为目标，采取</w:t>
            </w:r>
            <w:r>
              <w:rPr>
                <w:rFonts w:hint="eastAsia" w:ascii="宋体" w:hAnsi="宋体" w:eastAsia="宋体" w:cs="宋体"/>
                <w:b w:val="0"/>
                <w:bCs w:val="0"/>
                <w:sz w:val="24"/>
                <w:szCs w:val="24"/>
              </w:rPr>
              <w:t>“互联网+</w:t>
            </w:r>
            <w:r>
              <w:rPr>
                <w:rFonts w:hint="eastAsia" w:ascii="宋体" w:hAnsi="宋体" w:eastAsia="宋体" w:cs="宋体"/>
                <w:b w:val="0"/>
                <w:bCs w:val="0"/>
                <w:sz w:val="24"/>
                <w:szCs w:val="24"/>
                <w:lang w:val="en-US" w:eastAsia="zh-CN"/>
              </w:rPr>
              <w:t>集中</w:t>
            </w:r>
            <w:r>
              <w:rPr>
                <w:rFonts w:hint="eastAsia" w:ascii="宋体" w:hAnsi="宋体" w:eastAsia="宋体" w:cs="宋体"/>
                <w:b w:val="0"/>
                <w:bCs w:val="0"/>
                <w:sz w:val="24"/>
                <w:szCs w:val="24"/>
                <w:lang w:eastAsia="zh-CN"/>
              </w:rPr>
              <w:t>培训</w:t>
            </w:r>
            <w:r>
              <w:rPr>
                <w:rFonts w:hint="eastAsia" w:ascii="宋体" w:hAnsi="宋体" w:eastAsia="宋体" w:cs="宋体"/>
                <w:b w:val="0"/>
                <w:bCs w:val="0"/>
                <w:sz w:val="24"/>
                <w:szCs w:val="24"/>
              </w:rPr>
              <w:t>”</w:t>
            </w:r>
            <w:r>
              <w:rPr>
                <w:rFonts w:hint="eastAsia" w:ascii="宋体" w:hAnsi="宋体" w:eastAsia="宋体" w:cs="宋体"/>
                <w:b w:val="0"/>
                <w:bCs w:val="0"/>
                <w:color w:val="auto"/>
                <w:sz w:val="24"/>
                <w:szCs w:val="24"/>
                <w:lang w:val="en-US" w:eastAsia="zh-CN"/>
              </w:rPr>
              <w:t>的混合式培训，帮助一线教师解决新课程、新高考、新技术等教育教学实践中存在的难点和热点问题，提高教师教育教学能力。</w:t>
            </w:r>
            <w:r>
              <w:rPr>
                <w:rFonts w:hint="eastAsia" w:ascii="宋体" w:hAnsi="宋体" w:eastAsia="宋体" w:cs="宋体"/>
                <w:b w:val="0"/>
                <w:bCs w:val="0"/>
                <w:color w:val="auto"/>
                <w:sz w:val="24"/>
                <w:szCs w:val="24"/>
                <w:u w:val="none" w:color="auto"/>
                <w:lang w:val="en-US" w:eastAsia="zh-CN"/>
              </w:rPr>
              <w:t>每个项目从指标分配、学员遴选、报名审核、训前调研、项目实施等各方面都有序组织、跟进和督促到位。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254"/>
              <w:gridCol w:w="1245"/>
              <w:gridCol w:w="1245"/>
              <w:gridCol w:w="1250"/>
              <w:gridCol w:w="125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gridSpan w:val="7"/>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b/>
                      <w:bCs/>
                      <w:kern w:val="0"/>
                      <w:sz w:val="24"/>
                      <w:szCs w:val="24"/>
                      <w:lang w:val="en-US" w:eastAsia="zh-CN" w:bidi="ar-SA"/>
                    </w:rPr>
                    <w:t>2023年度武陵源区教师参培情况统计表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参培层次</w:t>
                  </w:r>
                </w:p>
              </w:tc>
              <w:tc>
                <w:tcPr>
                  <w:tcW w:w="1254"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国家级</w:t>
                  </w:r>
                </w:p>
              </w:tc>
              <w:tc>
                <w:tcPr>
                  <w:tcW w:w="124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省级</w:t>
                  </w:r>
                </w:p>
              </w:tc>
              <w:tc>
                <w:tcPr>
                  <w:tcW w:w="124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w:t>
                  </w:r>
                </w:p>
              </w:tc>
              <w:tc>
                <w:tcPr>
                  <w:tcW w:w="1250"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县级</w:t>
                  </w:r>
                </w:p>
              </w:tc>
              <w:tc>
                <w:tcPr>
                  <w:tcW w:w="1250"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校级</w:t>
                  </w:r>
                </w:p>
              </w:tc>
              <w:tc>
                <w:tcPr>
                  <w:tcW w:w="125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参培人次</w:t>
                  </w:r>
                </w:p>
              </w:tc>
              <w:tc>
                <w:tcPr>
                  <w:tcW w:w="1254"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1945</w:t>
                  </w:r>
                </w:p>
              </w:tc>
              <w:tc>
                <w:tcPr>
                  <w:tcW w:w="124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w:t>
                  </w:r>
                </w:p>
              </w:tc>
              <w:tc>
                <w:tcPr>
                  <w:tcW w:w="124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79</w:t>
                  </w:r>
                </w:p>
              </w:tc>
              <w:tc>
                <w:tcPr>
                  <w:tcW w:w="1250"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711</w:t>
                  </w:r>
                </w:p>
              </w:tc>
              <w:tc>
                <w:tcPr>
                  <w:tcW w:w="1250"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765</w:t>
                  </w:r>
                </w:p>
              </w:tc>
              <w:tc>
                <w:tcPr>
                  <w:tcW w:w="1255" w:type="dxa"/>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3599</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1.落实了“国培”、“省培”计划，积极参加市级以上各级各类培训达2123人次，其中线下集中培训138人次，校园长参训19人次。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（1）组织遴选学员参加由湖南省教育厅组织、北京师范大学承办2023年湖南省民族地区脱贫地区高中骨干校长研修（胡保定参训）。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2）组织遴选学员参加县域普通高中管理者专项培训项目-党组织书记与校长培训（廖玉华参训）、-学校中层干部培训（曹卫权、韦林参训）。以此为契机提高县域高中管理者治理能力和专业素养，促进县域高中可持续高质量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（3）组织遴选19名学员参加</w:t>
            </w:r>
            <w:r>
              <w:rPr>
                <w:rFonts w:hint="eastAsia" w:ascii="宋体" w:hAnsi="宋体" w:eastAsia="宋体" w:cs="宋体"/>
                <w:color w:val="auto"/>
                <w:sz w:val="24"/>
                <w:szCs w:val="24"/>
                <w:lang w:val="en-US" w:eastAsia="zh-CN"/>
              </w:rPr>
              <w:t>2023年“国培计划”、“省培计划”市县青年骨干教师校长工作坊</w:t>
            </w:r>
            <w:r>
              <w:rPr>
                <w:rFonts w:hint="eastAsia" w:ascii="宋体" w:hAnsi="宋体" w:eastAsia="宋体" w:cs="宋体"/>
                <w:color w:val="auto"/>
                <w:sz w:val="24"/>
                <w:szCs w:val="24"/>
                <w:u w:val="none" w:color="auto"/>
                <w:lang w:val="en-US" w:eastAsia="zh-CN"/>
              </w:rPr>
              <w:t>高端研修项目</w:t>
            </w:r>
            <w:r>
              <w:rPr>
                <w:rFonts w:hint="eastAsia" w:ascii="宋体" w:hAnsi="宋体" w:eastAsia="宋体" w:cs="宋体"/>
                <w:color w:val="auto"/>
                <w:sz w:val="24"/>
                <w:szCs w:val="24"/>
                <w:lang w:val="en-US" w:eastAsia="zh-CN"/>
              </w:rPr>
              <w:t>培训</w:t>
            </w:r>
            <w:r>
              <w:rPr>
                <w:rFonts w:hint="eastAsia" w:ascii="宋体" w:hAnsi="宋体" w:eastAsia="宋体" w:cs="宋体"/>
                <w:color w:val="auto"/>
                <w:sz w:val="24"/>
                <w:szCs w:val="24"/>
                <w:u w:val="none" w:color="auto"/>
                <w:lang w:val="en-US" w:eastAsia="zh-CN"/>
              </w:rPr>
              <w:t>，分别到北京大学、国家教育行政学院、湖南大学等开展线上线下混合式研修，其中校（园）长7人（姚运元、李海英、毛丽华、邓运、姚金波、李伟、黎卓参训），骨干教师12人。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4）组织遴选学员参加北京大学承办的小学党组织书记高级研修（戴晓鸿参训）；名师名校长领航团队工作坊高级研修-小学校长（向灵利参训）；农村中小学校长领导力提升研修（孙卫东参训）；中小学（幼儿园）党组织书记混合式研修（邓杰参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（5）组织遴选学员参加“教育部新时代中小学学科领军教师示范性培训（2023－2024年）”（区级学科带头人张燕英参训）。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（6）组织遴选31名中小学骨干教师参加“国培计划（2023）”张家界市农村骨干教师分层分类培训。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（7）组织了“一校一园”（区二中、索溪中心幼儿园）教师参加“国培计划（2023）”张家界市送教下乡精准帮扶培训（小学艺体、幼儿园）。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（8）争项并指导军地小学承办“国培计划（2023）”张家界市校校“一对一”精准帮扶培训（军地小学与天子山小学手拉手），培训天子山、区二中小学教师50名，并把送教下乡扩展到其他乡村学校。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9）组织遴选学员参加农村骨干教师能力提升培训项目（6人）、中小学道德与法治、思想政治课程骨干教师培训（重庆第二师范学院）、中小学人工智能教育研修（初中）（湖南省电化教育馆）、中小学心理健康教育骨干教师培训（浙江大学）各1人；乡村幼儿骨干教师普通话水平提升研修2人；2023年度中华经典诵读网络专项培训（3人）；2023年湖南省 “湘村主播兴乡土”语言技能培训等（1人）。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10）落实“双名”计划，加强对“名优教师”的管理与培养。对区级名优教师25人、市级“双名工程”命名对象20人进行了跟踪管理和培训培养，组织他们积极参加“国培计划”张家界市“李东海名校长工作室”和各学科“名师工作室”，大力发挥其示范引领和辐射带动作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2.举办了区级新课标、新教师、普通话自主培训，参训教师达711人次。</w:t>
            </w:r>
          </w:p>
          <w:p>
            <w:pPr>
              <w:keepNext w:val="0"/>
              <w:keepLines w:val="0"/>
              <w:pageBreakBefore w:val="0"/>
              <w:kinsoku/>
              <w:wordWrap/>
              <w:overflowPunct/>
              <w:topLinePunct w:val="0"/>
              <w:autoSpaceDE/>
              <w:autoSpaceDN/>
              <w:bidi w:val="0"/>
              <w:adjustRightInd/>
              <w:snapToGrid/>
              <w:spacing w:before="182" w:line="240" w:lineRule="auto"/>
              <w:ind w:right="110"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u w:val="none" w:color="auto"/>
                <w:lang w:val="en-US" w:eastAsia="zh-CN"/>
              </w:rPr>
              <w:t>（1）4月-7月组织全区义务教育阶段440名教师参加“2023年张家界市武陵源区义务教育新课程标准应用能力提升混合研修”，聚焦新课标，助力新课堂</w:t>
            </w:r>
            <w:r>
              <w:rPr>
                <w:rFonts w:hint="eastAsia" w:ascii="宋体" w:hAnsi="宋体" w:eastAsia="宋体" w:cs="宋体"/>
                <w:sz w:val="24"/>
                <w:szCs w:val="24"/>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（2）7月13日-19日在湖南第一师范学院举办了“2023年武陵源区新任教师能力提升培训”，受培对象为2021-2023年的新任教师，共79人参训。旨在为新教师赋能，扣好职业生涯的“ 第一粒扣子”，为其教育人生奠基。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（3）9月-11月举办了全区公、民办幼儿园教师普通话水平全员提升培训，采取集中培训和线上打卡训练，以迎接幼儿园教师普通话水平省级监测。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3.开展了多彩的校本研修，参训人次为765人次。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组织指导全区中小学校、幼儿园根据教育教学实际需要，开展了独立自主的校本研修，全员参与，重在实效。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4.组织参加各项竞赛活动。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2023年度，师训中心组织参加了：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1）省教育厅、省教师发展中心举办的在线集体备课大赛：区一中叶杨物理团队，获得省二等奖；索溪李汶丽小语团队、军地向灵利小数团队、胡琳美术团队、跨校（一中、协合）邓敏芳化学团队均获省三等奖。</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（2）省教育厅举办的“支教路·‘三区’情”征文评选活动：一中的康敏、朱方贵、吴勇华、协合园彭诗琪均获得省三等奖。</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3）省教师教育学会举办的新课程改革优秀教学案例44件，卓雪峰等9人获得省一等奖、张学琴等17人获得二等奖、唐勤思等18人获得三等奖；教育教学论文102篇参加省教师教育学会评选，邓茵等5人获得一等奖，叶杨等47人获二等奖，曹卫权等39人获三等奖；微课与课件51件参加省教师教育学会评选，王娇、叶杨等9人获得一等奖、杨松英等21人获二等奖，吴献海等21人获三等奖。</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5.加强教师培训学分管理工作。2023年度学分登记已基本完成。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u w:val="none" w:color="auto"/>
                <w:lang w:val="en-US" w:eastAsia="zh-CN"/>
              </w:rPr>
            </w:pPr>
            <w:r>
              <w:rPr>
                <w:rFonts w:hint="eastAsia" w:ascii="宋体" w:hAnsi="宋体" w:eastAsia="宋体" w:cs="宋体"/>
                <w:b/>
                <w:bCs/>
                <w:color w:val="auto"/>
                <w:sz w:val="24"/>
                <w:szCs w:val="24"/>
                <w:u w:val="none" w:color="auto"/>
                <w:lang w:val="en-US" w:eastAsia="zh-CN"/>
              </w:rPr>
              <w:t>二、语言文字工作扎实开展</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1.抓好队伍建设。</w:t>
            </w:r>
            <w:r>
              <w:rPr>
                <w:rFonts w:hint="eastAsia" w:ascii="宋体" w:hAnsi="宋体" w:eastAsia="宋体" w:cs="宋体"/>
                <w:b w:val="0"/>
                <w:bCs w:val="0"/>
                <w:color w:val="auto"/>
                <w:sz w:val="24"/>
                <w:szCs w:val="24"/>
                <w:lang w:val="en-US" w:eastAsia="zh-CN"/>
              </w:rPr>
              <w:t>选送天子山小学毛琼玉老师参加“湖南省第47期普通话水平测试员资格考核”强化培训，以94分的优异成绩和各项综合测试，顺利通过湖南省语言文字培训测试中心主持的省级普通话水平测试员的考核，获得省级普通话水平测试员资格，为我区语言文字工作增添了新鲜血液</w:t>
            </w:r>
            <w:r>
              <w:rPr>
                <w:rFonts w:hint="eastAsia" w:ascii="宋体" w:hAnsi="宋体" w:eastAsia="宋体" w:cs="宋体"/>
                <w:b w:val="0"/>
                <w:bCs w:val="0"/>
                <w:color w:val="auto"/>
                <w:sz w:val="24"/>
                <w:szCs w:val="24"/>
                <w:u w:val="none" w:color="auto"/>
                <w:lang w:val="en-US" w:eastAsia="zh-CN"/>
              </w:rPr>
              <w:t>；选派了3名普通话较好的老师参加中华经典诵读网络专项培训。</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2.长期坚持不懈的做好推普工作。（1）组织全区教育系统开展了“推广普通话，奋进新征程”为主题的推普周系列活动，各校</w:t>
            </w:r>
            <w:r>
              <w:rPr>
                <w:rFonts w:hint="eastAsia" w:ascii="宋体" w:hAnsi="宋体" w:eastAsia="宋体" w:cs="宋体"/>
                <w:b w:val="0"/>
                <w:bCs w:val="0"/>
                <w:color w:val="auto"/>
                <w:spacing w:val="0"/>
                <w:w w:val="100"/>
                <w:position w:val="0"/>
                <w:sz w:val="24"/>
                <w:szCs w:val="24"/>
              </w:rPr>
              <w:t>开展</w:t>
            </w:r>
            <w:r>
              <w:rPr>
                <w:rFonts w:hint="eastAsia" w:ascii="宋体" w:hAnsi="宋体" w:eastAsia="宋体" w:cs="宋体"/>
                <w:b w:val="0"/>
                <w:bCs w:val="0"/>
                <w:color w:val="auto"/>
                <w:spacing w:val="0"/>
                <w:w w:val="100"/>
                <w:position w:val="0"/>
                <w:sz w:val="24"/>
                <w:szCs w:val="24"/>
                <w:lang w:eastAsia="zh-CN"/>
              </w:rPr>
              <w:t>了“</w:t>
            </w:r>
            <w:r>
              <w:rPr>
                <w:rFonts w:hint="eastAsia" w:ascii="宋体" w:hAnsi="宋体" w:eastAsia="宋体" w:cs="宋体"/>
                <w:b w:val="0"/>
                <w:bCs w:val="0"/>
                <w:color w:val="auto"/>
                <w:spacing w:val="0"/>
                <w:w w:val="100"/>
                <w:position w:val="0"/>
                <w:sz w:val="24"/>
                <w:szCs w:val="24"/>
              </w:rPr>
              <w:t>六个一</w:t>
            </w:r>
            <w:r>
              <w:rPr>
                <w:rFonts w:hint="eastAsia" w:ascii="宋体" w:hAnsi="宋体" w:eastAsia="宋体" w:cs="宋体"/>
                <w:b w:val="0"/>
                <w:bCs w:val="0"/>
                <w:color w:val="auto"/>
                <w:spacing w:val="0"/>
                <w:w w:val="100"/>
                <w:position w:val="0"/>
                <w:sz w:val="24"/>
                <w:szCs w:val="24"/>
                <w:lang w:eastAsia="zh-CN"/>
              </w:rPr>
              <w:t>”</w:t>
            </w:r>
            <w:r>
              <w:rPr>
                <w:rFonts w:hint="eastAsia" w:ascii="宋体" w:hAnsi="宋体" w:eastAsia="宋体" w:cs="宋体"/>
                <w:b w:val="0"/>
                <w:bCs w:val="0"/>
                <w:color w:val="auto"/>
                <w:spacing w:val="0"/>
                <w:w w:val="100"/>
                <w:position w:val="0"/>
                <w:sz w:val="24"/>
                <w:szCs w:val="24"/>
              </w:rPr>
              <w:t>宣传活动</w:t>
            </w:r>
            <w:r>
              <w:rPr>
                <w:rFonts w:hint="eastAsia" w:ascii="宋体" w:hAnsi="宋体" w:eastAsia="宋体" w:cs="宋体"/>
                <w:b w:val="0"/>
                <w:bCs w:val="0"/>
                <w:color w:val="auto"/>
                <w:spacing w:val="0"/>
                <w:w w:val="100"/>
                <w:position w:val="0"/>
                <w:sz w:val="24"/>
                <w:szCs w:val="24"/>
                <w:lang w:eastAsia="zh-CN"/>
              </w:rPr>
              <w:t>；（</w:t>
            </w:r>
            <w:r>
              <w:rPr>
                <w:rFonts w:hint="eastAsia" w:ascii="宋体" w:hAnsi="宋体" w:eastAsia="宋体" w:cs="宋体"/>
                <w:b w:val="0"/>
                <w:bCs w:val="0"/>
                <w:color w:val="auto"/>
                <w:spacing w:val="0"/>
                <w:w w:val="100"/>
                <w:position w:val="0"/>
                <w:sz w:val="24"/>
                <w:szCs w:val="24"/>
                <w:lang w:val="en-US" w:eastAsia="zh-CN"/>
              </w:rPr>
              <w:t>2</w:t>
            </w:r>
            <w:r>
              <w:rPr>
                <w:rFonts w:hint="eastAsia" w:ascii="宋体" w:hAnsi="宋体" w:eastAsia="宋体" w:cs="宋体"/>
                <w:b w:val="0"/>
                <w:bCs w:val="0"/>
                <w:color w:val="auto"/>
                <w:spacing w:val="0"/>
                <w:w w:val="100"/>
                <w:position w:val="0"/>
                <w:sz w:val="24"/>
                <w:szCs w:val="24"/>
                <w:lang w:eastAsia="zh-CN"/>
              </w:rPr>
              <w:t>）</w:t>
            </w:r>
            <w:r>
              <w:rPr>
                <w:rFonts w:hint="eastAsia" w:ascii="宋体" w:hAnsi="宋体" w:eastAsia="宋体" w:cs="宋体"/>
                <w:b w:val="0"/>
                <w:bCs w:val="0"/>
                <w:color w:val="auto"/>
                <w:sz w:val="24"/>
                <w:szCs w:val="24"/>
                <w:u w:val="none" w:color="auto"/>
                <w:lang w:val="en-US" w:eastAsia="zh-CN"/>
              </w:rPr>
              <w:t>组织了职高学生和社会考生普通话水平培训及测试工作，参测人数404人；（3）组织了语言文字使用情况家庭调查，走村入户调查180户，为开展全国性语言文字使用情况调查积累试点经验；（4）组织了全区幼儿园教师参加省教育厅、省语委举办的普通话水平省级监测工作。全区20人参测，取得了优异成绩，合格率为100%，优秀率为90%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3.组织全区师生参加了省市中华经典诵写讲系列竞赛活动。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1）选送“诵读中国”经典诵读15件作品省市参赛，其中《雪落在中国的土地上》在市级决赛中获得一等奖，在省级复赛中获得教师组特等奖，是张家界市唯一获得特等奖、晋级省级现场决赛的作品，在全省14个特等奖作品决赛中取得第二名的好成绩，荣获亚军，其他有4个作品获市二等奖；9个作品获市三等奖；武陵源一中、索溪学校、军地小学获得市级经典诵读优秀组织奖。</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（2）选送“笔墨中国”汉字书写师生作品25件送省市评选，6个作品选送到省。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4.</w:t>
            </w:r>
            <w:r>
              <w:rPr>
                <w:rFonts w:hint="eastAsia" w:ascii="宋体" w:hAnsi="宋体" w:eastAsia="宋体" w:cs="宋体"/>
                <w:b w:val="0"/>
                <w:bCs w:val="0"/>
                <w:color w:val="auto"/>
                <w:spacing w:val="0"/>
                <w:w w:val="100"/>
                <w:position w:val="0"/>
                <w:sz w:val="24"/>
                <w:szCs w:val="24"/>
              </w:rPr>
              <w:t>深入持续开展</w:t>
            </w:r>
            <w:r>
              <w:rPr>
                <w:rFonts w:hint="eastAsia" w:ascii="宋体" w:hAnsi="宋体" w:eastAsia="宋体" w:cs="宋体"/>
                <w:b w:val="0"/>
                <w:bCs w:val="0"/>
                <w:color w:val="auto"/>
                <w:spacing w:val="0"/>
                <w:w w:val="100"/>
                <w:position w:val="0"/>
                <w:sz w:val="24"/>
                <w:szCs w:val="24"/>
                <w:lang w:val="en-US" w:eastAsia="zh-CN"/>
              </w:rPr>
              <w:t>了</w:t>
            </w:r>
            <w:r>
              <w:rPr>
                <w:rFonts w:hint="eastAsia" w:ascii="宋体" w:hAnsi="宋体" w:eastAsia="宋体" w:cs="宋体"/>
                <w:b w:val="0"/>
                <w:bCs w:val="0"/>
                <w:color w:val="auto"/>
                <w:spacing w:val="0"/>
                <w:w w:val="100"/>
                <w:position w:val="0"/>
                <w:sz w:val="24"/>
                <w:szCs w:val="24"/>
              </w:rPr>
              <w:t>学校语言文字规范化建设工作</w:t>
            </w:r>
            <w:r>
              <w:rPr>
                <w:rFonts w:hint="eastAsia" w:ascii="宋体" w:hAnsi="宋体" w:eastAsia="宋体" w:cs="宋体"/>
                <w:b w:val="0"/>
                <w:bCs w:val="0"/>
                <w:color w:val="auto"/>
                <w:spacing w:val="0"/>
                <w:w w:val="100"/>
                <w:position w:val="0"/>
                <w:sz w:val="24"/>
                <w:szCs w:val="24"/>
                <w:lang w:eastAsia="zh-CN"/>
              </w:rPr>
              <w:t>，</w:t>
            </w:r>
            <w:r>
              <w:rPr>
                <w:rFonts w:hint="eastAsia" w:ascii="宋体" w:hAnsi="宋体" w:eastAsia="宋体" w:cs="宋体"/>
                <w:b w:val="0"/>
                <w:bCs w:val="0"/>
                <w:color w:val="auto"/>
                <w:spacing w:val="0"/>
                <w:w w:val="100"/>
                <w:position w:val="0"/>
                <w:sz w:val="24"/>
                <w:szCs w:val="24"/>
              </w:rPr>
              <w:t>切实将语言文字工作融入学校日常教育教学中，使语言文字规范化建设常态化</w:t>
            </w:r>
            <w:r>
              <w:rPr>
                <w:rFonts w:hint="eastAsia" w:ascii="宋体" w:hAnsi="宋体" w:eastAsia="宋体" w:cs="宋体"/>
                <w:b w:val="0"/>
                <w:bCs w:val="0"/>
                <w:color w:val="auto"/>
                <w:spacing w:val="0"/>
                <w:w w:val="100"/>
                <w:position w:val="0"/>
                <w:sz w:val="24"/>
                <w:szCs w:val="24"/>
                <w:lang w:eastAsia="zh-CN"/>
              </w:rPr>
              <w:t>、</w:t>
            </w:r>
            <w:r>
              <w:rPr>
                <w:rFonts w:hint="eastAsia" w:ascii="宋体" w:hAnsi="宋体" w:eastAsia="宋体" w:cs="宋体"/>
                <w:b w:val="0"/>
                <w:bCs w:val="0"/>
                <w:color w:val="auto"/>
                <w:spacing w:val="0"/>
                <w:w w:val="100"/>
                <w:position w:val="0"/>
                <w:sz w:val="24"/>
                <w:szCs w:val="24"/>
              </w:rPr>
              <w:t>长效化</w:t>
            </w:r>
            <w:r>
              <w:rPr>
                <w:rFonts w:hint="eastAsia" w:ascii="宋体" w:hAnsi="宋体" w:eastAsia="宋体" w:cs="宋体"/>
                <w:b w:val="0"/>
                <w:bCs w:val="0"/>
                <w:color w:val="auto"/>
                <w:spacing w:val="0"/>
                <w:w w:val="100"/>
                <w:position w:val="0"/>
                <w:sz w:val="24"/>
                <w:szCs w:val="24"/>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u w:val="none" w:color="auto"/>
                <w:lang w:val="en-US" w:eastAsia="zh-CN"/>
              </w:rPr>
            </w:pPr>
            <w:r>
              <w:rPr>
                <w:rFonts w:hint="eastAsia" w:ascii="宋体" w:hAnsi="宋体" w:eastAsia="宋体" w:cs="宋体"/>
                <w:b w:val="0"/>
                <w:bCs w:val="0"/>
                <w:color w:val="auto"/>
                <w:sz w:val="24"/>
                <w:szCs w:val="24"/>
                <w:u w:val="none" w:color="auto"/>
                <w:lang w:val="en-US" w:eastAsia="zh-CN"/>
              </w:rPr>
              <w:t>5.组织指导了省语委举办的语言文字应用研究课题研究工作。军地小学《中华经典诵写讲在小学语文教学中的实践研究》进入了课题研究结题阶段。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default" w:ascii="楷体_GB2312" w:hAnsi="楷体" w:eastAsia="楷体_GB2312"/>
                <w:b/>
                <w:bCs/>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相关资质认可或执业许可证明文件及有 效 期</w:t>
            </w:r>
          </w:p>
        </w:tc>
        <w:tc>
          <w:tcPr>
            <w:tcW w:w="7920" w:type="dxa"/>
            <w:gridSpan w:val="4"/>
            <w:tcBorders>
              <w:top w:val="single" w:color="auto" w:sz="4" w:space="0"/>
              <w:left w:val="single" w:color="auto" w:sz="4" w:space="0"/>
              <w:bottom w:val="single" w:color="auto" w:sz="4" w:space="0"/>
              <w:right w:val="single" w:color="auto" w:sz="12" w:space="0"/>
            </w:tcBorders>
            <w:vAlign w:val="center"/>
          </w:tcPr>
          <w:p>
            <w:pPr>
              <w:spacing w:line="560" w:lineRule="exact"/>
              <w:rPr>
                <w:rFonts w:ascii="楷体_GB2312" w:hAnsi="楷体" w:eastAsia="楷体_GB2312"/>
                <w:b/>
                <w:bCs/>
                <w:sz w:val="32"/>
                <w:szCs w:val="32"/>
              </w:rPr>
            </w:pPr>
          </w:p>
          <w:p>
            <w:pPr>
              <w:spacing w:line="560" w:lineRule="exact"/>
              <w:ind w:firstLine="321" w:firstLineChars="100"/>
              <w:rPr>
                <w:rFonts w:hint="eastAsia" w:ascii="楷体_GB2312" w:hAnsi="楷体" w:eastAsia="楷体_GB2312"/>
                <w:b/>
                <w:bCs/>
                <w:sz w:val="32"/>
                <w:szCs w:val="32"/>
                <w:lang w:eastAsia="zh-CN"/>
              </w:rPr>
            </w:pPr>
            <w:r>
              <w:rPr>
                <w:rFonts w:hint="eastAsia" w:ascii="楷体_GB2312" w:hAnsi="楷体" w:eastAsia="楷体_GB2312"/>
                <w:b/>
                <w:bCs/>
                <w:sz w:val="32"/>
                <w:szCs w:val="32"/>
                <w:lang w:eastAsia="zh-CN"/>
              </w:rPr>
              <w:t>无</w:t>
            </w:r>
          </w:p>
          <w:p>
            <w:pPr>
              <w:spacing w:line="560" w:lineRule="exact"/>
              <w:rPr>
                <w:rFonts w:ascii="楷体_GB2312" w:hAnsi="楷体" w:eastAsia="楷体_GB2312"/>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21" w:type="dxa"/>
            <w:vMerge w:val="restart"/>
            <w:tcBorders>
              <w:top w:val="nil"/>
              <w:left w:val="single" w:color="auto" w:sz="12" w:space="0"/>
              <w:bottom w:val="single" w:color="auto" w:sz="4" w:space="0"/>
              <w:right w:val="single" w:color="auto" w:sz="4" w:space="0"/>
            </w:tcBorders>
            <w:vAlign w:val="center"/>
          </w:tcPr>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资产</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损益</w:t>
            </w:r>
          </w:p>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single" w:color="auto" w:sz="4" w:space="0"/>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所有者权益合计（净资产合计）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楷体" w:eastAsia="楷体_GB2312"/>
                <w:b/>
                <w:bCs/>
                <w:sz w:val="32"/>
                <w:szCs w:val="32"/>
              </w:rPr>
            </w:pPr>
          </w:p>
        </w:tc>
        <w:tc>
          <w:tcPr>
            <w:tcW w:w="395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年初数（万元）</w:t>
            </w:r>
          </w:p>
        </w:tc>
        <w:tc>
          <w:tcPr>
            <w:tcW w:w="3961" w:type="dxa"/>
            <w:tcBorders>
              <w:top w:val="single" w:color="auto" w:sz="4" w:space="0"/>
              <w:left w:val="single" w:color="auto" w:sz="4" w:space="0"/>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期末数（万元）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2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楷体" w:eastAsia="楷体_GB2312"/>
                <w:b/>
                <w:bCs/>
                <w:sz w:val="32"/>
                <w:szCs w:val="32"/>
              </w:rPr>
            </w:pPr>
          </w:p>
        </w:tc>
        <w:tc>
          <w:tcPr>
            <w:tcW w:w="395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hAnsi="楷体" w:eastAsia="楷体_GB2312"/>
                <w:b w:val="0"/>
                <w:bCs w:val="0"/>
                <w:sz w:val="32"/>
                <w:szCs w:val="32"/>
              </w:rPr>
            </w:pPr>
            <w:r>
              <w:rPr>
                <w:rFonts w:hint="eastAsia" w:eastAsia="楷体_GB2312"/>
                <w:b w:val="0"/>
                <w:bCs w:val="0"/>
                <w:sz w:val="32"/>
                <w:szCs w:val="32"/>
              </w:rPr>
              <w:t>10</w:t>
            </w:r>
          </w:p>
        </w:tc>
        <w:tc>
          <w:tcPr>
            <w:tcW w:w="3961" w:type="dxa"/>
            <w:tcBorders>
              <w:top w:val="single" w:color="auto" w:sz="4" w:space="0"/>
              <w:left w:val="single" w:color="auto" w:sz="4" w:space="0"/>
              <w:bottom w:val="single" w:color="auto" w:sz="4" w:space="0"/>
              <w:right w:val="single" w:color="auto" w:sz="12" w:space="0"/>
            </w:tcBorders>
            <w:vAlign w:val="center"/>
          </w:tcPr>
          <w:p>
            <w:pPr>
              <w:spacing w:line="560" w:lineRule="exact"/>
              <w:jc w:val="center"/>
              <w:rPr>
                <w:rFonts w:ascii="楷体_GB2312" w:hAnsi="楷体" w:eastAsia="楷体_GB2312"/>
                <w:b w:val="0"/>
                <w:bCs w:val="0"/>
                <w:sz w:val="32"/>
                <w:szCs w:val="32"/>
              </w:rPr>
            </w:pPr>
            <w:r>
              <w:rPr>
                <w:rFonts w:hint="eastAsia" w:ascii="楷体_GB2312" w:hAnsi="楷体" w:eastAsia="楷体_GB2312"/>
                <w:b w:val="0"/>
                <w:bCs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受奖</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惩评</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估及</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诉讼</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投诉</w:t>
            </w:r>
          </w:p>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single" w:color="auto" w:sz="4" w:space="0"/>
              <w:bottom w:val="single" w:color="auto" w:sz="4" w:space="0"/>
              <w:right w:val="single" w:color="auto" w:sz="12" w:space="0"/>
            </w:tcBorders>
          </w:tcPr>
          <w:p>
            <w:pPr>
              <w:spacing w:line="560" w:lineRule="exact"/>
              <w:jc w:val="left"/>
              <w:rPr>
                <w:rFonts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ind w:firstLine="320" w:firstLineChars="100"/>
              <w:rPr>
                <w:rFonts w:hint="eastAsia" w:ascii="楷体_GB2312" w:hAnsi="楷体" w:eastAsia="楷体_GB2312"/>
                <w:sz w:val="32"/>
                <w:szCs w:val="32"/>
              </w:rPr>
            </w:pPr>
            <w:r>
              <w:rPr>
                <w:rFonts w:hint="eastAsia" w:ascii="楷体_GB2312" w:hAnsi="楷体" w:eastAsia="楷体_GB2312"/>
                <w:sz w:val="32"/>
                <w:szCs w:val="32"/>
              </w:rPr>
              <w:t>无</w:t>
            </w:r>
          </w:p>
          <w:p>
            <w:pPr>
              <w:spacing w:line="560" w:lineRule="exact"/>
              <w:jc w:val="left"/>
              <w:rPr>
                <w:rFonts w:ascii="楷体_GB2312" w:hAnsi="楷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1"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spacing w:line="560" w:lineRule="exact"/>
              <w:ind w:firstLine="321" w:firstLineChars="100"/>
              <w:rPr>
                <w:rFonts w:ascii="楷体_GB2312" w:hAnsi="楷体" w:eastAsia="楷体_GB2312"/>
                <w:b/>
                <w:bCs/>
                <w:sz w:val="32"/>
                <w:szCs w:val="32"/>
              </w:rPr>
            </w:pPr>
            <w:r>
              <w:rPr>
                <w:rFonts w:hint="eastAsia" w:ascii="楷体_GB2312" w:hAnsi="楷体" w:eastAsia="楷体_GB2312"/>
                <w:b/>
                <w:bCs/>
                <w:sz w:val="32"/>
                <w:szCs w:val="32"/>
              </w:rPr>
              <w:t>接受</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捐赠</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资助</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及其</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使用</w:t>
            </w:r>
          </w:p>
          <w:p>
            <w:pPr>
              <w:spacing w:line="560" w:lineRule="exact"/>
              <w:ind w:firstLine="321" w:firstLineChars="100"/>
              <w:rPr>
                <w:rFonts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nil"/>
              <w:bottom w:val="single" w:color="auto" w:sz="4" w:space="0"/>
              <w:right w:val="single" w:color="auto" w:sz="12" w:space="0"/>
            </w:tcBorders>
          </w:tcPr>
          <w:p>
            <w:pPr>
              <w:spacing w:line="560" w:lineRule="exact"/>
              <w:jc w:val="left"/>
              <w:rPr>
                <w:rFonts w:ascii="楷体_GB2312" w:hAnsi="楷体" w:eastAsia="楷体_GB2312"/>
                <w:sz w:val="32"/>
                <w:szCs w:val="32"/>
              </w:rPr>
            </w:pPr>
          </w:p>
          <w:p>
            <w:pPr>
              <w:spacing w:line="560" w:lineRule="exact"/>
              <w:ind w:firstLine="320" w:firstLineChars="100"/>
              <w:jc w:val="left"/>
              <w:rPr>
                <w:rFonts w:hint="eastAsia" w:ascii="楷体_GB2312" w:hAnsi="楷体" w:eastAsia="楷体_GB2312"/>
                <w:sz w:val="32"/>
                <w:szCs w:val="32"/>
              </w:rPr>
            </w:pPr>
            <w:r>
              <w:rPr>
                <w:rFonts w:hint="eastAsia" w:ascii="楷体_GB2312" w:hAnsi="楷体" w:eastAsia="楷体_GB2312"/>
                <w:sz w:val="32"/>
                <w:szCs w:val="32"/>
              </w:rPr>
              <w:t>无</w:t>
            </w: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ascii="楷体_GB2312" w:hAnsi="楷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62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从业人数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上年末</w:t>
            </w:r>
          </w:p>
        </w:tc>
        <w:tc>
          <w:tcPr>
            <w:tcW w:w="64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hint="eastAsia" w:ascii="楷体_GB2312" w:hAnsi="楷体" w:eastAsia="楷体_GB2312"/>
                <w:b w:val="0"/>
                <w:bCs w:val="0"/>
                <w:sz w:val="32"/>
                <w:szCs w:val="32"/>
                <w:lang w:eastAsia="zh-CN"/>
              </w:rPr>
            </w:pPr>
            <w:r>
              <w:rPr>
                <w:rFonts w:hint="eastAsia" w:ascii="楷体_GB2312" w:hAnsi="楷体" w:eastAsia="楷体_GB2312"/>
                <w:b w:val="0"/>
                <w:bCs w:val="0"/>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 w:eastAsia="楷体_GB2312"/>
                <w:b/>
                <w:bCs/>
                <w:sz w:val="32"/>
                <w:szCs w:val="32"/>
              </w:rPr>
            </w:pP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本年度</w:t>
            </w:r>
          </w:p>
        </w:tc>
        <w:tc>
          <w:tcPr>
            <w:tcW w:w="6480" w:type="dxa"/>
            <w:gridSpan w:val="3"/>
            <w:tcBorders>
              <w:top w:val="single" w:color="auto" w:sz="4" w:space="0"/>
              <w:left w:val="nil"/>
              <w:bottom w:val="single" w:color="auto" w:sz="4" w:space="0"/>
              <w:right w:val="single" w:color="auto" w:sz="12" w:space="0"/>
            </w:tcBorders>
            <w:vAlign w:val="center"/>
          </w:tcPr>
          <w:p>
            <w:pPr>
              <w:spacing w:line="560" w:lineRule="exact"/>
              <w:ind w:firstLine="640" w:firstLineChars="200"/>
              <w:rPr>
                <w:rFonts w:hint="eastAsia" w:ascii="楷体_GB2312" w:hAnsi="楷体" w:eastAsia="楷体_GB2312"/>
                <w:b w:val="0"/>
                <w:bCs w:val="0"/>
                <w:sz w:val="32"/>
                <w:szCs w:val="32"/>
                <w:lang w:eastAsia="zh-CN"/>
              </w:rPr>
            </w:pPr>
            <w:r>
              <w:rPr>
                <w:rFonts w:hint="eastAsia" w:ascii="楷体_GB2312" w:hAnsi="楷体" w:eastAsia="楷体_GB2312"/>
                <w:b w:val="0"/>
                <w:bCs w:val="0"/>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网上名称</w:t>
            </w:r>
          </w:p>
        </w:tc>
        <w:tc>
          <w:tcPr>
            <w:tcW w:w="7920" w:type="dxa"/>
            <w:gridSpan w:val="4"/>
            <w:tcBorders>
              <w:top w:val="single" w:color="auto" w:sz="4" w:space="0"/>
              <w:left w:val="nil"/>
              <w:bottom w:val="single" w:color="auto" w:sz="4" w:space="0"/>
              <w:right w:val="single" w:color="auto" w:sz="12" w:space="0"/>
            </w:tcBorders>
            <w:vAlign w:val="center"/>
          </w:tcPr>
          <w:p>
            <w:pPr>
              <w:spacing w:line="560" w:lineRule="exact"/>
              <w:jc w:val="left"/>
              <w:rPr>
                <w:rFonts w:ascii="楷体_GB2312" w:hAnsi="楷体" w:eastAsia="楷体_GB2312"/>
                <w:sz w:val="32"/>
                <w:szCs w:val="32"/>
              </w:rPr>
            </w:pPr>
            <w:r>
              <w:rPr>
                <w:rFonts w:hint="eastAsia" w:ascii="楷体_GB2312" w:eastAsia="楷体_GB2312"/>
                <w:b/>
                <w:bCs/>
                <w:sz w:val="32"/>
                <w:szCs w:val="32"/>
                <w:lang w:val="en-US" w:eastAsia="zh-CN"/>
              </w:rPr>
              <w:t>张家界市武陵源区师资培训中心•</w:t>
            </w:r>
            <w:r>
              <w:rPr>
                <w:rFonts w:hint="eastAsia" w:ascii="楷体_GB2312" w:eastAsia="楷体_GB2312"/>
                <w:b/>
                <w:bCs/>
                <w:sz w:val="32"/>
                <w:szCs w:val="32"/>
              </w:rPr>
              <w:t>公益</w:t>
            </w:r>
          </w:p>
        </w:tc>
      </w:tr>
    </w:tbl>
    <w:p>
      <w:bookmarkStart w:id="0" w:name="_GoBack"/>
      <w:bookmarkEnd w:id="0"/>
    </w:p>
    <w:sectPr>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7</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5YmExOGE4NTZkNmYyMmVlMGFlN2Y2ODNkNjQ2Y2EifQ=="/>
  </w:docVars>
  <w:rsids>
    <w:rsidRoot w:val="00213760"/>
    <w:rsid w:val="001A57EC"/>
    <w:rsid w:val="00213760"/>
    <w:rsid w:val="003F3B88"/>
    <w:rsid w:val="004843F9"/>
    <w:rsid w:val="00536A94"/>
    <w:rsid w:val="005B6623"/>
    <w:rsid w:val="005C4314"/>
    <w:rsid w:val="00974954"/>
    <w:rsid w:val="00F06324"/>
    <w:rsid w:val="0C580AA0"/>
    <w:rsid w:val="133D63C1"/>
    <w:rsid w:val="15284E6F"/>
    <w:rsid w:val="1665477B"/>
    <w:rsid w:val="19C07C84"/>
    <w:rsid w:val="1DAB5418"/>
    <w:rsid w:val="241430A6"/>
    <w:rsid w:val="2BA416B5"/>
    <w:rsid w:val="33257041"/>
    <w:rsid w:val="3F0B4A07"/>
    <w:rsid w:val="400832A2"/>
    <w:rsid w:val="41E2438C"/>
    <w:rsid w:val="473F6FFA"/>
    <w:rsid w:val="6E513A30"/>
    <w:rsid w:val="71880F41"/>
    <w:rsid w:val="7AF76444"/>
    <w:rsid w:val="7C77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标书正文1"/>
    <w:basedOn w:val="1"/>
    <w:autoRedefine/>
    <w:qFormat/>
    <w:uiPriority w:val="0"/>
    <w:pPr>
      <w:spacing w:line="520" w:lineRule="exact"/>
      <w:ind w:firstLine="640" w:firstLineChars="200"/>
    </w:pPr>
  </w:style>
  <w:style w:type="character" w:customStyle="1" w:styleId="8">
    <w:name w:val="页脚 Char"/>
    <w:basedOn w:val="5"/>
    <w:link w:val="2"/>
    <w:autoRedefine/>
    <w:qFormat/>
    <w:uiPriority w:val="0"/>
    <w:rPr>
      <w:rFonts w:ascii="Times New Roman" w:hAnsi="Times New Roman" w:eastAsia="宋体" w:cs="Times New Roman"/>
      <w:sz w:val="18"/>
      <w:szCs w:val="18"/>
    </w:rPr>
  </w:style>
  <w:style w:type="paragraph" w:customStyle="1" w:styleId="9">
    <w:name w:val="Body text|1"/>
    <w:basedOn w:val="1"/>
    <w:autoRedefine/>
    <w:qFormat/>
    <w:uiPriority w:val="0"/>
    <w:pPr>
      <w:widowControl w:val="0"/>
      <w:shd w:val="clear" w:color="auto" w:fill="auto"/>
      <w:spacing w:line="45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8</Pages>
  <Words>3112</Words>
  <Characters>3308</Characters>
  <Lines>18</Lines>
  <Paragraphs>5</Paragraphs>
  <TotalTime>9</TotalTime>
  <ScaleCrop>false</ScaleCrop>
  <LinksUpToDate>false</LinksUpToDate>
  <CharactersWithSpaces>3523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2020-02-07T00:24:00Z</dcterms:created>
  <dc:creator>Administrator</dc:creator>
  <cp:lastModifiedBy>x,y</cp:lastModifiedBy>
  <cp:lastPrinted>2021-02-19T02:35:00Z</cp:lastPrinted>
  <dcterms:modified xsi:type="dcterms:W3CDTF">2024-02-02T02:42:04Z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7915B124A2CE4106A966774541737F1D_13</vt:lpwstr>
  </property>
</Properties>
</file>