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5569" w:firstLineChars="1849"/>
        <w:rPr>
          <w:rFonts w:hint="eastAsia" w:ascii="楷体" w:hAnsi="楷体" w:eastAsia="楷体"/>
          <w:b/>
          <w:bCs/>
          <w:sz w:val="30"/>
        </w:rPr>
      </w:pPr>
    </w:p>
    <w:p>
      <w:pPr>
        <w:adjustRightInd w:val="0"/>
        <w:snapToGrid w:val="0"/>
        <w:spacing w:line="560" w:lineRule="exact"/>
        <w:ind w:firstLine="4216" w:firstLineChars="1400"/>
        <w:rPr>
          <w:rFonts w:hint="eastAsia"/>
        </w:rPr>
      </w:pPr>
      <w:r>
        <w:rPr>
          <w:rFonts w:hint="eastAsia" w:ascii="楷体_GB2312" w:hAnsi="楷体" w:eastAsia="楷体_GB2312"/>
          <w:b/>
          <w:bCs/>
          <w:sz w:val="30"/>
        </w:rPr>
        <w:t>事证第</w:t>
      </w:r>
      <w:r>
        <w:rPr>
          <w:rFonts w:hint="eastAsia" w:ascii="楷体_GB2312" w:hAnsi="楷体" w:eastAsia="楷体_GB2312"/>
          <w:b/>
          <w:bCs/>
          <w:sz w:val="30"/>
          <w:lang w:val="en-US" w:eastAsia="zh-CN"/>
        </w:rPr>
        <w:t>12430811MB11751873</w:t>
      </w:r>
      <w:r>
        <w:rPr>
          <w:rFonts w:hint="eastAsia" w:ascii="楷体_GB2312" w:hAnsi="楷体" w:eastAsia="楷体_GB2312"/>
          <w:b/>
          <w:bCs/>
          <w:sz w:val="30"/>
        </w:rPr>
        <w:t>号</w:t>
      </w:r>
    </w:p>
    <w:p>
      <w:pPr>
        <w:adjustRightInd w:val="0"/>
        <w:snapToGrid w:val="0"/>
        <w:spacing w:line="560" w:lineRule="exact"/>
        <w:jc w:val="right"/>
        <w:rPr>
          <w:rFonts w:hint="eastAsia"/>
        </w:rPr>
      </w:pPr>
    </w:p>
    <w:p>
      <w:pPr>
        <w:adjustRightInd w:val="0"/>
        <w:snapToGrid w:val="0"/>
        <w:spacing w:line="560" w:lineRule="exact"/>
        <w:jc w:val="right"/>
      </w:pPr>
    </w:p>
    <w:p>
      <w:pPr>
        <w:adjustRightInd w:val="0"/>
        <w:snapToGrid w:val="0"/>
        <w:spacing w:line="560" w:lineRule="exact"/>
        <w:jc w:val="center"/>
        <w:rPr>
          <w:rFonts w:eastAsia="黑体"/>
          <w:b/>
          <w:bCs/>
          <w:spacing w:val="40"/>
          <w:sz w:val="52"/>
        </w:rPr>
      </w:pPr>
      <w:r>
        <w:rPr>
          <w:rFonts w:hint="eastAsia" w:eastAsia="黑体"/>
          <w:b/>
          <w:bCs/>
          <w:spacing w:val="40"/>
          <w:sz w:val="52"/>
        </w:rPr>
        <w:t>事业单位法人年度报告书</w:t>
      </w:r>
    </w:p>
    <w:p>
      <w:pPr>
        <w:adjustRightInd w:val="0"/>
        <w:snapToGrid w:val="0"/>
        <w:spacing w:line="560" w:lineRule="exact"/>
        <w:jc w:val="center"/>
        <w:rPr>
          <w:rFonts w:hint="eastAsia" w:eastAsia="黑体"/>
          <w:b/>
          <w:bCs/>
          <w:spacing w:val="3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eastAsia="黑体"/>
          <w:b/>
          <w:bCs/>
          <w:spacing w:val="30"/>
        </w:rPr>
      </w:pPr>
    </w:p>
    <w:p>
      <w:pPr>
        <w:adjustRightInd w:val="0"/>
        <w:snapToGrid w:val="0"/>
        <w:spacing w:line="560" w:lineRule="exact"/>
        <w:jc w:val="center"/>
        <w:rPr>
          <w:rFonts w:eastAsia="楷体_GB2312"/>
          <w:b/>
          <w:bCs/>
          <w:spacing w:val="30"/>
          <w:sz w:val="36"/>
        </w:rPr>
      </w:pPr>
      <w:r>
        <w:rPr>
          <w:rFonts w:hint="eastAsia" w:eastAsia="楷体_GB2312"/>
          <w:b/>
          <w:bCs/>
          <w:spacing w:val="30"/>
          <w:sz w:val="36"/>
        </w:rPr>
        <w:t>（</w:t>
      </w:r>
      <w:r>
        <w:rPr>
          <w:rFonts w:hint="eastAsia" w:eastAsia="楷体_GB2312"/>
          <w:b/>
          <w:bCs/>
          <w:spacing w:val="30"/>
          <w:sz w:val="36"/>
          <w:lang w:val="en-US" w:eastAsia="zh-CN"/>
        </w:rPr>
        <w:t>2023</w:t>
      </w:r>
      <w:r>
        <w:rPr>
          <w:rFonts w:hint="eastAsia" w:ascii="楷体_GB2312" w:hAnsi="楷体" w:eastAsia="楷体_GB2312"/>
          <w:b/>
          <w:bCs/>
          <w:spacing w:val="30"/>
          <w:sz w:val="36"/>
        </w:rPr>
        <w:t>年度</w:t>
      </w:r>
      <w:r>
        <w:rPr>
          <w:rFonts w:hint="eastAsia" w:eastAsia="楷体_GB2312"/>
          <w:b/>
          <w:bCs/>
          <w:spacing w:val="30"/>
          <w:sz w:val="36"/>
        </w:rPr>
        <w:t>）</w:t>
      </w:r>
    </w:p>
    <w:p>
      <w:pPr>
        <w:adjustRightInd w:val="0"/>
        <w:snapToGrid w:val="0"/>
        <w:spacing w:line="560" w:lineRule="exact"/>
        <w:jc w:val="right"/>
        <w:rPr>
          <w:sz w:val="36"/>
        </w:rPr>
      </w:pPr>
    </w:p>
    <w:p>
      <w:pPr>
        <w:adjustRightInd w:val="0"/>
        <w:snapToGrid w:val="0"/>
        <w:spacing w:line="560" w:lineRule="exact"/>
        <w:jc w:val="center"/>
        <w:rPr>
          <w:sz w:val="36"/>
        </w:rPr>
      </w:pPr>
    </w:p>
    <w:p>
      <w:pPr>
        <w:adjustRightInd w:val="0"/>
        <w:snapToGrid w:val="0"/>
        <w:spacing w:line="560" w:lineRule="exact"/>
        <w:rPr>
          <w:rFonts w:hint="eastAsia" w:ascii="黑体" w:eastAsia="黑体"/>
          <w:b/>
          <w:bCs/>
          <w:sz w:val="36"/>
          <w:u w:val="single"/>
        </w:rPr>
      </w:pPr>
      <w:r>
        <w:rPr>
          <w:rFonts w:hint="eastAsia" w:ascii="黑体" w:eastAsia="黑体"/>
          <w:b/>
          <w:bCs/>
          <w:sz w:val="36"/>
        </w:rPr>
        <w:t>单 位 名 称</w:t>
      </w:r>
      <w:r>
        <w:rPr>
          <w:rFonts w:hint="eastAsia" w:ascii="黑体" w:eastAsia="黑体"/>
          <w:b/>
          <w:bCs/>
          <w:sz w:val="36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 w:val="0"/>
          <w:bCs w:val="0"/>
          <w:sz w:val="36"/>
          <w:u w:val="single"/>
          <w:lang w:eastAsia="zh-CN"/>
        </w:rPr>
        <w:t>张家界市武陵源区</w:t>
      </w:r>
      <w:r>
        <w:rPr>
          <w:rFonts w:hint="eastAsia" w:ascii="楷体" w:hAnsi="楷体" w:eastAsia="楷体" w:cs="楷体"/>
          <w:b w:val="0"/>
          <w:bCs w:val="0"/>
          <w:sz w:val="36"/>
          <w:u w:val="single"/>
          <w:lang w:val="en-US" w:eastAsia="zh-CN"/>
        </w:rPr>
        <w:t>劳动保障监察大队</w:t>
      </w:r>
      <w:r>
        <w:rPr>
          <w:rFonts w:hint="eastAsia" w:ascii="黑体" w:eastAsia="黑体"/>
          <w:b/>
          <w:bCs/>
          <w:sz w:val="36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firstLine="1446" w:firstLineChars="400"/>
        <w:rPr>
          <w:rFonts w:hint="eastAsia" w:ascii="黑体" w:eastAsia="黑体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rFonts w:hint="eastAsia" w:ascii="黑体" w:eastAsia="黑体"/>
          <w:b/>
          <w:bCs/>
          <w:sz w:val="36"/>
          <w:u w:val="single"/>
        </w:rPr>
      </w:pPr>
      <w:r>
        <w:rPr>
          <w:rFonts w:hint="eastAsia" w:ascii="黑体" w:eastAsia="黑体"/>
          <w:b/>
          <w:bCs/>
          <w:sz w:val="36"/>
        </w:rPr>
        <w:t>举 办 单 位</w:t>
      </w:r>
      <w:r>
        <w:rPr>
          <w:rFonts w:hint="eastAsia" w:ascii="黑体" w:eastAsia="黑体"/>
          <w:b/>
          <w:bCs/>
          <w:sz w:val="36"/>
          <w:u w:val="single"/>
        </w:rPr>
        <w:t xml:space="preserve">  </w:t>
      </w:r>
      <w:r>
        <w:rPr>
          <w:rFonts w:hint="eastAsia" w:ascii="黑体" w:eastAsia="黑体"/>
          <w:b/>
          <w:bCs/>
          <w:sz w:val="36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6"/>
          <w:u w:val="single"/>
          <w:lang w:val="en-US" w:eastAsia="zh-CN"/>
        </w:rPr>
        <w:t xml:space="preserve"> 武陵源</w:t>
      </w:r>
      <w:r>
        <w:rPr>
          <w:rFonts w:hint="eastAsia" w:ascii="楷体" w:hAnsi="楷体" w:eastAsia="楷体" w:cs="楷体"/>
          <w:b w:val="0"/>
          <w:bCs w:val="0"/>
          <w:sz w:val="36"/>
          <w:u w:val="single"/>
          <w:lang w:eastAsia="zh-CN"/>
        </w:rPr>
        <w:t>区人力资源和社会保障局</w:t>
      </w:r>
      <w:r>
        <w:rPr>
          <w:rFonts w:hint="eastAsia" w:ascii="楷体" w:hAnsi="楷体" w:eastAsia="楷体" w:cs="楷体"/>
          <w:b w:val="0"/>
          <w:bCs w:val="0"/>
          <w:sz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u w:val="single"/>
        </w:rPr>
        <w:t xml:space="preserve">                         </w:t>
      </w:r>
    </w:p>
    <w:p>
      <w:pPr>
        <w:adjustRightInd w:val="0"/>
        <w:snapToGrid w:val="0"/>
        <w:spacing w:line="560" w:lineRule="exact"/>
        <w:ind w:firstLine="540" w:firstLineChars="224"/>
        <w:rPr>
          <w:rFonts w:hint="eastAsia" w:ascii="黑体" w:eastAsia="黑体"/>
          <w:b/>
          <w:bCs/>
          <w:sz w:val="24"/>
          <w:u w:val="single"/>
        </w:rPr>
      </w:pPr>
    </w:p>
    <w:p>
      <w:pPr>
        <w:adjustRightInd w:val="0"/>
        <w:snapToGrid w:val="0"/>
        <w:spacing w:line="560" w:lineRule="exact"/>
        <w:rPr>
          <w:rFonts w:hint="eastAsia" w:ascii="黑体" w:eastAsia="黑体"/>
          <w:b/>
          <w:bCs/>
          <w:sz w:val="36"/>
          <w:u w:val="single"/>
        </w:rPr>
      </w:pPr>
      <w:r>
        <w:rPr>
          <w:rFonts w:hint="eastAsia" w:ascii="黑体" w:eastAsia="黑体"/>
          <w:b/>
          <w:bCs/>
          <w:sz w:val="36"/>
        </w:rPr>
        <w:t>法</w:t>
      </w:r>
      <w:r>
        <w:rPr>
          <w:rFonts w:hint="eastAsia" w:ascii="黑体" w:eastAsia="黑体"/>
          <w:b/>
          <w:bCs/>
          <w:spacing w:val="30"/>
          <w:sz w:val="36"/>
        </w:rPr>
        <w:t>定代表</w:t>
      </w:r>
      <w:r>
        <w:rPr>
          <w:rFonts w:hint="eastAsia" w:ascii="黑体" w:eastAsia="黑体"/>
          <w:b/>
          <w:bCs/>
          <w:sz w:val="36"/>
        </w:rPr>
        <w:t>人</w:t>
      </w:r>
      <w:r>
        <w:rPr>
          <w:rFonts w:hint="eastAsia" w:ascii="黑体" w:eastAsia="黑体"/>
          <w:b/>
          <w:bCs/>
          <w:sz w:val="36"/>
          <w:u w:val="single"/>
        </w:rPr>
        <w:t xml:space="preserve">      </w:t>
      </w:r>
      <w:r>
        <w:rPr>
          <w:rFonts w:hint="eastAsia" w:ascii="黑体" w:eastAsia="黑体"/>
          <w:b/>
          <w:bCs/>
          <w:sz w:val="36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 w:val="0"/>
          <w:sz w:val="36"/>
          <w:u w:val="single"/>
          <w:lang w:val="en-US" w:eastAsia="zh-CN"/>
        </w:rPr>
        <w:t xml:space="preserve">  刘经义</w:t>
      </w:r>
      <w:r>
        <w:rPr>
          <w:rFonts w:hint="eastAsia" w:ascii="黑体" w:eastAsia="黑体"/>
          <w:b/>
          <w:bCs/>
          <w:sz w:val="36"/>
          <w:u w:val="single"/>
        </w:rPr>
        <w:t xml:space="preserve">                     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" w:eastAsia="楷体_GB2312"/>
          <w:b/>
          <w:bCs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张家界市武陵源区事业单位登记管理局制</w:t>
      </w:r>
    </w:p>
    <w:p>
      <w:pPr>
        <w:adjustRightInd w:val="0"/>
        <w:snapToGrid w:val="0"/>
        <w:spacing w:line="560" w:lineRule="exact"/>
        <w:jc w:val="both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pStyle w:val="2"/>
        <w:rPr>
          <w:rFonts w:hint="eastAsia" w:ascii="楷体_GB2312" w:hAnsi="楷体" w:eastAsia="楷体_GB2312"/>
          <w:b/>
          <w:bCs/>
          <w:sz w:val="32"/>
          <w:szCs w:val="32"/>
        </w:rPr>
      </w:pPr>
    </w:p>
    <w:p>
      <w:pPr>
        <w:pStyle w:val="2"/>
        <w:rPr>
          <w:rFonts w:hint="eastAsia" w:ascii="楷体_GB2312" w:hAnsi="楷体" w:eastAsia="楷体_GB2312"/>
          <w:b/>
          <w:bCs/>
          <w:sz w:val="32"/>
          <w:szCs w:val="32"/>
        </w:rPr>
      </w:pPr>
    </w:p>
    <w:tbl>
      <w:tblPr>
        <w:tblStyle w:val="3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440"/>
        <w:gridCol w:w="556"/>
        <w:gridCol w:w="1963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《事业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单 位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法 人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 xml:space="preserve"> 证书》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登 载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事 项</w:t>
            </w:r>
          </w:p>
        </w:tc>
        <w:tc>
          <w:tcPr>
            <w:tcW w:w="19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59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张家界市武陵源区劳动保障监察大队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宗 旨 和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ind w:firstLine="64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履行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劳动保障监督执法，维护劳动者合法权益，宣传贯彻劳动保障法律法规，</w:t>
            </w:r>
          </w:p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劳动合同管理，劳动力市场监督管理等。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住    所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张家界市武陵源区亘立酒店三楼办公区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法定代表人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刘经义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开办资金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¥5万元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经费来源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2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举办单位</w:t>
            </w:r>
          </w:p>
        </w:tc>
        <w:tc>
          <w:tcPr>
            <w:tcW w:w="5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9" w:hRule="atLeast"/>
          <w:jc w:val="center"/>
        </w:trPr>
        <w:tc>
          <w:tcPr>
            <w:tcW w:w="162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对《条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例》和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实施细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则有关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变更登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记规定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的执行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  况</w:t>
            </w:r>
          </w:p>
        </w:tc>
        <w:tc>
          <w:tcPr>
            <w:tcW w:w="792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按规定执行</w:t>
            </w:r>
          </w:p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开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展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业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务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活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动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9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eastAsia="楷体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val="en-US" w:eastAsia="zh-CN"/>
              </w:rPr>
              <w:t>2023年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，我大队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深入贯彻落实习近平总书记关于根治欠薪重要指示批示精神，进一步提高政治站位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，细化实施方案，</w:t>
            </w:r>
            <w:r>
              <w:rPr>
                <w:rFonts w:hint="eastAsia" w:ascii="Times New Roman" w:hAnsi="Times New Roman" w:eastAsia="仿宋_GB2312"/>
                <w:spacing w:val="-6"/>
                <w:sz w:val="30"/>
                <w:szCs w:val="30"/>
              </w:rPr>
              <w:t>扎实推进农民工工资支付工作，有效维护了广大</w:t>
            </w:r>
            <w:r>
              <w:rPr>
                <w:rFonts w:hint="eastAsia" w:ascii="Times New Roman" w:hAnsi="Times New Roman" w:eastAsia="仿宋_GB2312"/>
                <w:spacing w:val="-6"/>
                <w:sz w:val="30"/>
                <w:szCs w:val="30"/>
                <w:lang w:eastAsia="zh-CN"/>
              </w:rPr>
              <w:t>劳动者</w:t>
            </w:r>
            <w:r>
              <w:rPr>
                <w:rFonts w:hint="eastAsia" w:ascii="Times New Roman" w:hAnsi="Times New Roman" w:eastAsia="仿宋_GB2312"/>
                <w:spacing w:val="-6"/>
                <w:sz w:val="30"/>
                <w:szCs w:val="30"/>
              </w:rPr>
              <w:t>的合法权益。</w:t>
            </w:r>
            <w:r>
              <w:rPr>
                <w:rFonts w:hint="eastAsia" w:eastAsia="仿宋_GB2312"/>
                <w:b/>
                <w:color w:val="000000"/>
                <w:sz w:val="30"/>
                <w:szCs w:val="30"/>
              </w:rPr>
              <w:t>一是排查化解欠薪隐患。</w:t>
            </w:r>
            <w:r>
              <w:rPr>
                <w:rFonts w:hint="eastAsia" w:eastAsia="仿宋_GB2312"/>
                <w:color w:val="000000"/>
                <w:sz w:val="30"/>
                <w:szCs w:val="30"/>
              </w:rPr>
              <w:t>目前，全区在建500万元以上、工期3个月以上的工程项目数4个。今年年初，处理群体性工资事件3起，协调处理金额628万元，处理完结率达100％。劳动监察大队仲裁调解拖欠农民工工资纠纷7起，涉及28人，涉及金额34.9764万元。日常受理投诉128起，已协商处理128起。对行业主管部门、区产业公司下达交办函11份，有效的推动了各成员单位“谁主管、谁负责”。处理国务院根治欠薪平台投诉49件，已处理49件，处理结案率均为100％。</w:t>
            </w:r>
            <w:r>
              <w:rPr>
                <w:rFonts w:hint="eastAsia" w:eastAsia="仿宋_GB2312"/>
                <w:b/>
                <w:color w:val="000000"/>
                <w:sz w:val="30"/>
                <w:szCs w:val="30"/>
              </w:rPr>
              <w:t>二是严厉打击欠薪行为。</w:t>
            </w:r>
            <w:r>
              <w:rPr>
                <w:rFonts w:hint="eastAsia" w:eastAsia="仿宋_GB2312"/>
                <w:color w:val="000000"/>
                <w:sz w:val="30"/>
                <w:szCs w:val="30"/>
              </w:rPr>
              <w:t>对施工单位拖欠农民工工资行为始终保持高压态势，坚持“发生一起、查处一起、清欠一起”的原则，对事实清楚的案件进行立案查处。今年共立案查处22起，其中在建项目农民工工资7起，中小企业、个体工商户拖欠工资5起，违反保障农民工工资制度7起，社保投诉行政划拨1起，撤销立案2起，有效打击了施工单位拒不支付劳动报酬的行为。</w:t>
            </w:r>
            <w:r>
              <w:rPr>
                <w:rFonts w:hint="eastAsia" w:eastAsia="仿宋_GB2312"/>
                <w:b/>
                <w:color w:val="000000"/>
                <w:sz w:val="30"/>
                <w:szCs w:val="30"/>
              </w:rPr>
              <w:t>三是充分发挥法律援助、检察院支持民事起诉的职能。</w:t>
            </w:r>
            <w:r>
              <w:rPr>
                <w:rFonts w:hint="eastAsia" w:eastAsia="仿宋_GB2312"/>
                <w:color w:val="000000"/>
                <w:sz w:val="30"/>
                <w:szCs w:val="30"/>
              </w:rPr>
              <w:t>对存在纠纷争议的农民工工资，通过联系法律援助中心给予法律援助、检察院支持民事起诉、法院诉讼绿色通道处理农民工工资32起。</w:t>
            </w:r>
          </w:p>
          <w:p>
            <w:pPr>
              <w:ind w:firstLine="643" w:firstLineChars="2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相关资质认可或执业许可证明文件及有 效 期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</w:pPr>
          </w:p>
          <w:p>
            <w:pPr>
              <w:tabs>
                <w:tab w:val="left" w:pos="2105"/>
              </w:tabs>
              <w:bidi w:val="0"/>
              <w:ind w:firstLine="640" w:firstLineChars="200"/>
              <w:jc w:val="left"/>
              <w:rPr>
                <w:rFonts w:hint="default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62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资产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损益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所有者权益合计（净资产合计）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年初数（万元）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期末数（万元）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62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395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1928" w:firstLineChars="600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9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162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受奖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惩评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估及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诉讼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投诉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1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接受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捐赠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资助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及其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使用</w:t>
            </w:r>
          </w:p>
          <w:p>
            <w:pPr>
              <w:spacing w:line="560" w:lineRule="exact"/>
              <w:ind w:firstLine="321" w:firstLineChars="100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eastAsia="zh-CN"/>
              </w:rPr>
              <w:t>无</w:t>
            </w: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楷体_GB2312" w:hAnsi="楷体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621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从业人数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上年末</w:t>
            </w:r>
          </w:p>
        </w:tc>
        <w:tc>
          <w:tcPr>
            <w:tcW w:w="648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2560" w:firstLineChars="800"/>
              <w:jc w:val="both"/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621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本年度</w:t>
            </w:r>
          </w:p>
        </w:tc>
        <w:tc>
          <w:tcPr>
            <w:tcW w:w="6480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615"/>
              </w:tabs>
              <w:spacing w:line="560" w:lineRule="exact"/>
              <w:ind w:firstLine="2560" w:firstLineChars="800"/>
              <w:jc w:val="left"/>
              <w:rPr>
                <w:rFonts w:hint="default" w:ascii="楷体_GB2312" w:hAnsi="楷体" w:eastAsia="楷体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>网上名称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楷体_GB2312" w:hAnsi="楷体" w:eastAsia="楷体_GB2312"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eastAsia="zh-CN"/>
              </w:rPr>
              <w:t>张家界市武陵源区劳动保障监察大队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</w:rPr>
              <w:t>公益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mExOGE4NTZkNmYyMmVlMGFlN2Y2ODNkNjQ2Y2EifQ=="/>
  </w:docVars>
  <w:rsids>
    <w:rsidRoot w:val="3F7D1143"/>
    <w:rsid w:val="088658D1"/>
    <w:rsid w:val="3F7D1143"/>
    <w:rsid w:val="419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2024-01-17T00:42:00Z</dcterms:created>
  <dc:creator>拥抱春天</dc:creator>
  <cp:lastModifiedBy>x,y</cp:lastModifiedBy>
  <dcterms:modified xsi:type="dcterms:W3CDTF">2024-02-01T02:10:13Z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625532EB6F1A47139E0CE977BD98EAB7_13</vt:lpwstr>
  </property>
</Properties>
</file>