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915" w:firstLineChars="1300"/>
        <w:rPr>
          <w:rFonts w:ascii="楷体_GB2312" w:hAnsi="楷体" w:eastAsia="楷体_GB2312"/>
          <w:b/>
          <w:bCs/>
          <w:sz w:val="30"/>
          <w:szCs w:val="30"/>
        </w:rPr>
      </w:pPr>
      <w:r>
        <w:rPr>
          <w:rFonts w:hint="eastAsia" w:ascii="楷体_GB2312" w:hAnsi="楷体" w:eastAsia="楷体_GB2312"/>
          <w:b/>
          <w:bCs/>
          <w:sz w:val="30"/>
          <w:szCs w:val="30"/>
        </w:rPr>
        <w:t>事证第12430811186960180U 号</w:t>
      </w:r>
    </w:p>
    <w:p>
      <w:pPr>
        <w:adjustRightInd w:val="0"/>
        <w:snapToGrid w:val="0"/>
        <w:spacing w:line="560" w:lineRule="exact"/>
        <w:jc w:val="right"/>
        <w:rPr>
          <w:rFonts w:hint="eastAsia"/>
        </w:rPr>
      </w:pPr>
      <w:r>
        <w:t xml:space="preserve"> </w:t>
      </w:r>
    </w:p>
    <w:p>
      <w:pPr>
        <w:adjustRightInd w:val="0"/>
        <w:snapToGrid w:val="0"/>
        <w:spacing w:line="560" w:lineRule="exact"/>
        <w:jc w:val="right"/>
        <w:rPr>
          <w:rFonts w:hint="eastAsia"/>
        </w:rPr>
      </w:pPr>
      <w:r>
        <w:t xml:space="preserve"> </w:t>
      </w:r>
    </w:p>
    <w:p>
      <w:pPr>
        <w:adjustRightInd w:val="0"/>
        <w:snapToGrid w:val="0"/>
        <w:spacing w:line="560" w:lineRule="exact"/>
        <w:jc w:val="right"/>
        <w:rPr>
          <w:rFonts w:ascii="宋体" w:hAnsi="宋体"/>
        </w:rPr>
      </w:pPr>
      <w:r>
        <w:rPr>
          <w:rFonts w:hint="eastAsia" w:ascii="宋体" w:hAnsi="宋体"/>
        </w:rPr>
        <w:t xml:space="preserve"> </w:t>
      </w:r>
    </w:p>
    <w:p>
      <w:pPr>
        <w:adjustRightInd w:val="0"/>
        <w:snapToGrid w:val="0"/>
        <w:spacing w:line="560" w:lineRule="exact"/>
        <w:jc w:val="right"/>
        <w:rPr>
          <w:rFonts w:hint="eastAsia" w:ascii="宋体" w:hAnsi="宋体"/>
        </w:rPr>
      </w:pPr>
      <w:r>
        <w:rPr>
          <w:rFonts w:hint="eastAsia" w:ascii="宋体" w:hAnsi="宋体"/>
        </w:rPr>
        <w:t xml:space="preserve"> </w:t>
      </w:r>
    </w:p>
    <w:p>
      <w:pPr>
        <w:adjustRightInd w:val="0"/>
        <w:snapToGrid w:val="0"/>
        <w:spacing w:line="560" w:lineRule="exact"/>
        <w:jc w:val="right"/>
        <w:rPr>
          <w:rFonts w:hint="eastAsia"/>
        </w:rPr>
      </w:pPr>
      <w:r>
        <w:t xml:space="preserve"> </w:t>
      </w:r>
    </w:p>
    <w:p>
      <w:pPr>
        <w:adjustRightInd w:val="0"/>
        <w:snapToGrid w:val="0"/>
        <w:spacing w:line="560" w:lineRule="exact"/>
        <w:jc w:val="center"/>
        <w:rPr>
          <w:rFonts w:hint="eastAsia" w:eastAsia="黑体"/>
          <w:b/>
          <w:bCs/>
          <w:spacing w:val="40"/>
          <w:sz w:val="52"/>
          <w:szCs w:val="52"/>
        </w:rPr>
      </w:pPr>
      <w:r>
        <w:rPr>
          <w:rFonts w:hint="eastAsia" w:ascii="黑体" w:hAnsi="黑体" w:eastAsia="黑体"/>
          <w:b/>
          <w:bCs/>
          <w:spacing w:val="40"/>
          <w:sz w:val="52"/>
          <w:szCs w:val="52"/>
        </w:rPr>
        <w:t>事业单位法人年度报告书</w:t>
      </w:r>
    </w:p>
    <w:p>
      <w:pPr>
        <w:adjustRightInd w:val="0"/>
        <w:snapToGrid w:val="0"/>
        <w:spacing w:line="560" w:lineRule="exact"/>
        <w:jc w:val="center"/>
        <w:rPr>
          <w:rFonts w:ascii="黑体" w:hAnsi="黑体" w:eastAsia="黑体"/>
          <w:b/>
          <w:bCs/>
          <w:spacing w:val="30"/>
        </w:rPr>
      </w:pPr>
      <w:r>
        <w:rPr>
          <w:rFonts w:hint="eastAsia" w:ascii="黑体" w:hAnsi="黑体" w:eastAsia="黑体"/>
          <w:b/>
          <w:bCs/>
          <w:spacing w:val="30"/>
        </w:rPr>
        <w:t xml:space="preserve"> </w:t>
      </w:r>
    </w:p>
    <w:p>
      <w:pPr>
        <w:adjustRightInd w:val="0"/>
        <w:snapToGrid w:val="0"/>
        <w:spacing w:line="560" w:lineRule="exact"/>
        <w:jc w:val="center"/>
        <w:rPr>
          <w:rFonts w:hint="eastAsia" w:ascii="黑体" w:hAnsi="黑体" w:eastAsia="黑体"/>
          <w:b/>
          <w:bCs/>
          <w:spacing w:val="30"/>
        </w:rPr>
      </w:pPr>
      <w:r>
        <w:rPr>
          <w:rFonts w:hint="eastAsia" w:ascii="黑体" w:hAnsi="黑体" w:eastAsia="黑体"/>
          <w:b/>
          <w:bCs/>
          <w:spacing w:val="30"/>
        </w:rPr>
        <w:t xml:space="preserve"> </w:t>
      </w:r>
    </w:p>
    <w:p>
      <w:pPr>
        <w:adjustRightInd w:val="0"/>
        <w:snapToGrid w:val="0"/>
        <w:spacing w:line="560" w:lineRule="exact"/>
        <w:jc w:val="center"/>
        <w:rPr>
          <w:rFonts w:hint="eastAsia" w:eastAsia="楷体_GB2312"/>
          <w:b/>
          <w:bCs/>
          <w:spacing w:val="30"/>
          <w:sz w:val="36"/>
          <w:szCs w:val="36"/>
        </w:rPr>
      </w:pPr>
      <w:r>
        <w:rPr>
          <w:rFonts w:hint="eastAsia" w:ascii="楷体_GB2312" w:eastAsia="楷体_GB2312"/>
          <w:b/>
          <w:bCs/>
          <w:spacing w:val="30"/>
          <w:sz w:val="36"/>
          <w:szCs w:val="36"/>
        </w:rPr>
        <w:t>（</w:t>
      </w:r>
      <w:r>
        <w:rPr>
          <w:rFonts w:hint="eastAsia" w:eastAsia="楷体_GB2312"/>
          <w:b/>
          <w:bCs/>
          <w:spacing w:val="30"/>
          <w:sz w:val="36"/>
          <w:szCs w:val="36"/>
        </w:rPr>
        <w:t>202</w:t>
      </w:r>
      <w:r>
        <w:rPr>
          <w:rFonts w:eastAsia="楷体_GB2312"/>
          <w:b/>
          <w:bCs/>
          <w:spacing w:val="30"/>
          <w:sz w:val="36"/>
          <w:szCs w:val="36"/>
        </w:rPr>
        <w:t>3</w:t>
      </w:r>
      <w:r>
        <w:rPr>
          <w:rFonts w:hint="eastAsia" w:ascii="楷体_GB2312" w:hAnsi="楷体" w:eastAsia="楷体_GB2312"/>
          <w:b/>
          <w:bCs/>
          <w:spacing w:val="30"/>
          <w:sz w:val="36"/>
          <w:szCs w:val="36"/>
        </w:rPr>
        <w:t>年度</w:t>
      </w:r>
      <w:r>
        <w:rPr>
          <w:rFonts w:hint="eastAsia" w:ascii="楷体_GB2312" w:eastAsia="楷体_GB2312"/>
          <w:b/>
          <w:bCs/>
          <w:spacing w:val="30"/>
          <w:sz w:val="36"/>
          <w:szCs w:val="36"/>
        </w:rPr>
        <w:t>）</w:t>
      </w:r>
    </w:p>
    <w:p>
      <w:pPr>
        <w:adjustRightInd w:val="0"/>
        <w:snapToGrid w:val="0"/>
        <w:spacing w:line="560" w:lineRule="exact"/>
        <w:jc w:val="center"/>
        <w:rPr>
          <w:sz w:val="36"/>
          <w:szCs w:val="36"/>
        </w:rPr>
      </w:pPr>
      <w:r>
        <w:rPr>
          <w:sz w:val="36"/>
          <w:szCs w:val="36"/>
        </w:rPr>
        <w:t xml:space="preserve"> </w:t>
      </w:r>
    </w:p>
    <w:p>
      <w:pPr>
        <w:adjustRightInd w:val="0"/>
        <w:snapToGrid w:val="0"/>
        <w:spacing w:line="560" w:lineRule="exact"/>
        <w:jc w:val="center"/>
        <w:rPr>
          <w:sz w:val="36"/>
          <w:szCs w:val="36"/>
        </w:rPr>
      </w:pPr>
      <w:r>
        <w:rPr>
          <w:sz w:val="36"/>
          <w:szCs w:val="36"/>
        </w:rPr>
        <w:t xml:space="preserve"> </w:t>
      </w:r>
    </w:p>
    <w:p>
      <w:pPr>
        <w:adjustRightInd w:val="0"/>
        <w:snapToGrid w:val="0"/>
        <w:spacing w:line="560" w:lineRule="exact"/>
        <w:ind w:firstLine="1261" w:firstLineChars="349"/>
        <w:rPr>
          <w:rFonts w:ascii="黑体" w:hAnsi="黑体" w:eastAsia="黑体"/>
          <w:b/>
          <w:bCs/>
          <w:sz w:val="36"/>
          <w:szCs w:val="36"/>
          <w:u w:val="single"/>
        </w:rPr>
      </w:pPr>
      <w:r>
        <w:rPr>
          <w:rFonts w:hint="eastAsia" w:ascii="黑体" w:hAnsi="黑体" w:eastAsia="黑体"/>
          <w:b/>
          <w:bCs/>
          <w:sz w:val="36"/>
          <w:szCs w:val="36"/>
        </w:rPr>
        <w:t>单 位 名 称</w:t>
      </w:r>
      <w:r>
        <w:rPr>
          <w:rFonts w:hint="eastAsia" w:ascii="黑体" w:hAnsi="黑体" w:eastAsia="黑体"/>
          <w:b/>
          <w:bCs/>
          <w:sz w:val="36"/>
          <w:szCs w:val="36"/>
          <w:u w:val="single"/>
        </w:rPr>
        <w:t xml:space="preserve"> 武陵源区供销合作社联合社                           </w:t>
      </w:r>
    </w:p>
    <w:p>
      <w:pPr>
        <w:adjustRightInd w:val="0"/>
        <w:snapToGrid w:val="0"/>
        <w:spacing w:line="560" w:lineRule="exact"/>
        <w:ind w:firstLine="1446" w:firstLineChars="400"/>
        <w:rPr>
          <w:rFonts w:hint="eastAsia" w:ascii="黑体" w:hAnsi="黑体" w:eastAsia="黑体"/>
          <w:b/>
          <w:bCs/>
          <w:sz w:val="36"/>
          <w:szCs w:val="36"/>
        </w:rPr>
      </w:pPr>
      <w:r>
        <w:rPr>
          <w:rFonts w:hint="eastAsia" w:ascii="黑体" w:hAnsi="黑体" w:eastAsia="黑体"/>
          <w:b/>
          <w:bCs/>
          <w:sz w:val="36"/>
          <w:szCs w:val="36"/>
        </w:rPr>
        <w:t xml:space="preserve"> </w:t>
      </w:r>
    </w:p>
    <w:p>
      <w:pPr>
        <w:adjustRightInd w:val="0"/>
        <w:snapToGrid w:val="0"/>
        <w:spacing w:line="560" w:lineRule="exact"/>
        <w:ind w:firstLine="1261" w:firstLineChars="349"/>
        <w:rPr>
          <w:rFonts w:hint="eastAsia" w:ascii="黑体" w:hAnsi="黑体" w:eastAsia="黑体"/>
          <w:b/>
          <w:bCs/>
          <w:sz w:val="36"/>
          <w:szCs w:val="36"/>
          <w:u w:val="single"/>
        </w:rPr>
      </w:pPr>
      <w:r>
        <w:rPr>
          <w:rFonts w:hint="eastAsia" w:ascii="黑体" w:hAnsi="黑体" w:eastAsia="黑体"/>
          <w:b/>
          <w:bCs/>
          <w:sz w:val="36"/>
          <w:szCs w:val="36"/>
        </w:rPr>
        <w:t>举 办 单 位</w:t>
      </w:r>
      <w:r>
        <w:rPr>
          <w:rFonts w:hint="eastAsia" w:ascii="黑体" w:hAnsi="黑体" w:eastAsia="黑体"/>
          <w:b/>
          <w:bCs/>
          <w:sz w:val="36"/>
          <w:szCs w:val="36"/>
          <w:u w:val="single"/>
        </w:rPr>
        <w:t xml:space="preserve">   区人民政府                           </w:t>
      </w:r>
    </w:p>
    <w:p>
      <w:pPr>
        <w:adjustRightInd w:val="0"/>
        <w:snapToGrid w:val="0"/>
        <w:spacing w:line="560" w:lineRule="exact"/>
        <w:ind w:firstLine="540" w:firstLineChars="224"/>
        <w:rPr>
          <w:rFonts w:hint="eastAsia" w:ascii="黑体" w:hAnsi="黑体" w:eastAsia="黑体"/>
          <w:b/>
          <w:bCs/>
          <w:sz w:val="24"/>
          <w:szCs w:val="24"/>
          <w:u w:val="single"/>
        </w:rPr>
      </w:pPr>
      <w:r>
        <w:rPr>
          <w:rFonts w:hint="eastAsia" w:ascii="黑体" w:hAnsi="黑体" w:eastAsia="黑体"/>
          <w:b/>
          <w:bCs/>
          <w:sz w:val="24"/>
          <w:szCs w:val="24"/>
          <w:u w:val="single"/>
        </w:rPr>
        <w:t xml:space="preserve"> </w:t>
      </w:r>
    </w:p>
    <w:p>
      <w:pPr>
        <w:adjustRightInd w:val="0"/>
        <w:snapToGrid w:val="0"/>
        <w:spacing w:line="560" w:lineRule="exact"/>
        <w:ind w:firstLine="1261" w:firstLineChars="349"/>
        <w:rPr>
          <w:rFonts w:hint="eastAsia" w:ascii="黑体" w:hAnsi="黑体" w:eastAsia="黑体"/>
          <w:b/>
          <w:bCs/>
          <w:sz w:val="36"/>
          <w:szCs w:val="36"/>
          <w:u w:val="single"/>
        </w:rPr>
      </w:pPr>
      <w:r>
        <w:rPr>
          <w:rFonts w:hint="eastAsia" w:ascii="黑体" w:hAnsi="黑体" w:eastAsia="黑体"/>
          <w:b/>
          <w:bCs/>
          <w:sz w:val="36"/>
          <w:szCs w:val="36"/>
        </w:rPr>
        <w:t>法</w:t>
      </w:r>
      <w:r>
        <w:rPr>
          <w:rFonts w:hint="eastAsia" w:ascii="黑体" w:hAnsi="黑体" w:eastAsia="黑体"/>
          <w:b/>
          <w:bCs/>
          <w:spacing w:val="30"/>
          <w:sz w:val="36"/>
          <w:szCs w:val="36"/>
        </w:rPr>
        <w:t>定代表</w:t>
      </w:r>
      <w:r>
        <w:rPr>
          <w:rFonts w:hint="eastAsia" w:ascii="黑体" w:hAnsi="黑体" w:eastAsia="黑体"/>
          <w:b/>
          <w:bCs/>
          <w:sz w:val="36"/>
          <w:szCs w:val="36"/>
        </w:rPr>
        <w:t>人</w:t>
      </w:r>
      <w:r>
        <w:rPr>
          <w:rFonts w:hint="eastAsia" w:ascii="黑体" w:hAnsi="黑体" w:eastAsia="黑体"/>
          <w:b/>
          <w:bCs/>
          <w:sz w:val="36"/>
          <w:szCs w:val="36"/>
          <w:u w:val="single"/>
        </w:rPr>
        <w:t xml:space="preserve">   </w:t>
      </w:r>
      <w:r>
        <w:rPr>
          <w:rFonts w:hint="eastAsia" w:ascii="黑体" w:hAnsi="黑体" w:eastAsia="黑体"/>
          <w:b/>
          <w:bCs/>
          <w:sz w:val="36"/>
          <w:szCs w:val="36"/>
          <w:u w:val="single"/>
          <w:lang w:eastAsia="zh-CN"/>
        </w:rPr>
        <w:t>吴方锐</w:t>
      </w:r>
      <w:r>
        <w:rPr>
          <w:rFonts w:hint="eastAsia" w:ascii="黑体" w:hAnsi="黑体" w:eastAsia="黑体"/>
          <w:b/>
          <w:bCs/>
          <w:sz w:val="36"/>
          <w:szCs w:val="36"/>
          <w:u w:val="single"/>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eastAsia="楷体_GB2312" w:asciiTheme="minorHAnsi" w:hAnsiTheme="minorHAnsi"/>
          <w:b/>
          <w:bCs/>
          <w:sz w:val="32"/>
          <w:szCs w:val="32"/>
        </w:rPr>
      </w:pPr>
      <w:r>
        <w:rPr>
          <w:rFonts w:hint="eastAsia" w:ascii="楷体_GB2312" w:hAnsi="楷体" w:eastAsia="楷体_GB2312"/>
          <w:b/>
          <w:bCs/>
          <w:sz w:val="32"/>
          <w:szCs w:val="32"/>
        </w:rPr>
        <w:t xml:space="preserve"> </w:t>
      </w:r>
    </w:p>
    <w:p>
      <w:pPr>
        <w:adjustRightInd w:val="0"/>
        <w:snapToGrid w:val="0"/>
        <w:spacing w:line="560" w:lineRule="exact"/>
        <w:jc w:val="center"/>
        <w:rPr>
          <w:rFonts w:eastAsia="楷体_GB2312" w:asciiTheme="minorHAnsi" w:hAnsiTheme="minorHAnsi"/>
          <w:b/>
          <w:bCs/>
          <w:sz w:val="32"/>
          <w:szCs w:val="32"/>
        </w:rPr>
      </w:pPr>
    </w:p>
    <w:p>
      <w:pPr>
        <w:adjustRightInd w:val="0"/>
        <w:snapToGrid w:val="0"/>
        <w:spacing w:line="560" w:lineRule="exact"/>
        <w:jc w:val="center"/>
        <w:rPr>
          <w:rFonts w:eastAsia="楷体_GB2312" w:asciiTheme="minorHAnsi" w:hAnsiTheme="minorHAnsi"/>
          <w:b/>
          <w:bCs/>
          <w:sz w:val="32"/>
          <w:szCs w:val="32"/>
        </w:rPr>
      </w:pPr>
    </w:p>
    <w:p>
      <w:pPr>
        <w:adjustRightInd w:val="0"/>
        <w:snapToGrid w:val="0"/>
        <w:spacing w:line="560" w:lineRule="exact"/>
        <w:jc w:val="center"/>
        <w:rPr>
          <w:rFonts w:eastAsia="楷体_GB2312" w:asciiTheme="minorHAnsi" w:hAnsiTheme="minorHAnsi"/>
          <w:b/>
          <w:bCs/>
          <w:sz w:val="32"/>
          <w:szCs w:val="32"/>
        </w:rPr>
      </w:pP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张家界市武陵源区事业单位登记管理局制</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w:t>
      </w:r>
    </w:p>
    <w:tbl>
      <w:tblPr>
        <w:tblStyle w:val="4"/>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40"/>
        <w:gridCol w:w="556"/>
        <w:gridCol w:w="1963"/>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restart"/>
            <w:tcBorders>
              <w:top w:val="single" w:color="auto" w:sz="12" w:space="0"/>
              <w:left w:val="single" w:color="auto" w:sz="12" w:space="0"/>
              <w:bottom w:val="single" w:color="auto" w:sz="8"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《事业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单 位</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法 人</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证书》</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登 载</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事 项</w:t>
            </w:r>
          </w:p>
        </w:tc>
        <w:tc>
          <w:tcPr>
            <w:tcW w:w="1996" w:type="dxa"/>
            <w:gridSpan w:val="2"/>
            <w:tcBorders>
              <w:top w:val="single" w:color="auto" w:sz="12"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单位名称</w:t>
            </w:r>
          </w:p>
        </w:tc>
        <w:tc>
          <w:tcPr>
            <w:tcW w:w="5924" w:type="dxa"/>
            <w:gridSpan w:val="2"/>
            <w:tcBorders>
              <w:top w:val="single" w:color="auto" w:sz="12"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张家界市武陵源区供销合作社联合社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宗 旨 和</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业务范围</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推动全区供销合作社为农业农村和农民提供综合服务、促进城乡商品流通和市场经济发展   制订全区供销合作社的发展规划  推动其改革和发展、业务活动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住    所</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索溪峪军地坪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法定代表人</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center"/>
              <w:rPr>
                <w:rFonts w:hint="eastAsia" w:ascii="楷体_GB2312" w:hAnsi="楷体" w:eastAsia="楷体_GB2312"/>
                <w:b/>
                <w:bCs/>
                <w:sz w:val="32"/>
                <w:szCs w:val="32"/>
                <w:lang w:eastAsia="zh-CN"/>
              </w:rPr>
            </w:pPr>
            <w:r>
              <w:rPr>
                <w:rFonts w:hint="eastAsia" w:ascii="楷体_GB2312" w:hAnsi="楷体" w:eastAsia="楷体_GB2312"/>
                <w:b/>
                <w:bCs/>
                <w:sz w:val="32"/>
                <w:szCs w:val="32"/>
                <w:lang w:eastAsia="zh-CN"/>
              </w:rPr>
              <w:t>吴方锐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开办资金</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经费来源</w:t>
            </w:r>
          </w:p>
        </w:tc>
        <w:tc>
          <w:tcPr>
            <w:tcW w:w="5924" w:type="dxa"/>
            <w:gridSpan w:val="2"/>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楷体_GB2312" w:hAnsi="楷体" w:eastAsia="楷体_GB2312"/>
                <w:b/>
                <w:bCs/>
                <w:sz w:val="32"/>
                <w:szCs w:val="32"/>
              </w:rPr>
            </w:pPr>
          </w:p>
        </w:tc>
        <w:tc>
          <w:tcPr>
            <w:tcW w:w="1996" w:type="dxa"/>
            <w:gridSpan w:val="2"/>
            <w:tcBorders>
              <w:top w:val="single" w:color="auto" w:sz="4" w:space="0"/>
              <w:left w:val="nil"/>
              <w:bottom w:val="single" w:color="auto" w:sz="8"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举办单位</w:t>
            </w:r>
          </w:p>
        </w:tc>
        <w:tc>
          <w:tcPr>
            <w:tcW w:w="5924" w:type="dxa"/>
            <w:gridSpan w:val="2"/>
            <w:tcBorders>
              <w:top w:val="single" w:color="auto" w:sz="4" w:space="0"/>
              <w:left w:val="nil"/>
              <w:bottom w:val="single" w:color="auto" w:sz="8"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6" w:hRule="atLeast"/>
          <w:jc w:val="center"/>
        </w:trPr>
        <w:tc>
          <w:tcPr>
            <w:tcW w:w="1621" w:type="dxa"/>
            <w:tcBorders>
              <w:top w:val="single" w:color="auto" w:sz="8" w:space="0"/>
              <w:left w:val="single" w:color="auto" w:sz="12" w:space="0"/>
              <w:bottom w:val="single" w:color="auto" w:sz="12"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对《条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例》和</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实施细</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则有关</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变更登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记规定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的执行</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  况</w:t>
            </w:r>
          </w:p>
        </w:tc>
        <w:tc>
          <w:tcPr>
            <w:tcW w:w="7920" w:type="dxa"/>
            <w:gridSpan w:val="4"/>
            <w:tcBorders>
              <w:top w:val="single" w:color="auto" w:sz="8" w:space="0"/>
              <w:left w:val="nil"/>
              <w:bottom w:val="single" w:color="auto" w:sz="12"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无</w:t>
            </w:r>
          </w:p>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1" w:type="dxa"/>
            <w:tcBorders>
              <w:top w:val="single" w:color="auto" w:sz="12" w:space="0"/>
              <w:left w:val="single" w:color="auto" w:sz="12" w:space="0"/>
              <w:bottom w:val="single" w:color="auto" w:sz="12"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开</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展</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动</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w:t>
            </w:r>
          </w:p>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况</w:t>
            </w:r>
          </w:p>
        </w:tc>
        <w:tc>
          <w:tcPr>
            <w:tcW w:w="7920" w:type="dxa"/>
            <w:gridSpan w:val="4"/>
            <w:tcBorders>
              <w:top w:val="single" w:color="auto" w:sz="12" w:space="0"/>
              <w:left w:val="nil"/>
              <w:bottom w:val="single" w:color="auto" w:sz="12" w:space="0"/>
              <w:right w:val="single" w:color="auto" w:sz="12" w:space="0"/>
            </w:tcBorders>
            <w:vAlign w:val="center"/>
          </w:tcPr>
          <w:p>
            <w:pPr>
              <w:widowControl/>
              <w:shd w:val="clear" w:color="auto" w:fill="FFFFFF"/>
              <w:spacing w:line="240" w:lineRule="exact"/>
              <w:jc w:val="left"/>
              <w:rPr>
                <w:rFonts w:hint="eastAsia" w:ascii="仿宋_GB2312" w:hAnsi="Times New Roman" w:eastAsia="仿宋_GB2312" w:cs="Times New Roman"/>
                <w:kern w:val="0"/>
              </w:rPr>
            </w:pPr>
            <w:r>
              <w:rPr>
                <w:rFonts w:hint="eastAsia" w:ascii="仿宋_GB2312" w:hAnsi="Times New Roman" w:eastAsia="仿宋_GB2312" w:cs="Times New Roman"/>
                <w:bCs/>
                <w:kern w:val="0"/>
              </w:rPr>
              <w:t>(一)供销综合改革持续推进。</w:t>
            </w:r>
            <w:r>
              <w:rPr>
                <w:rFonts w:hint="eastAsia" w:ascii="仿宋_GB2312" w:hAnsi="Times New Roman" w:eastAsia="仿宋_GB2312" w:cs="Times New Roman"/>
                <w:b/>
                <w:kern w:val="0"/>
              </w:rPr>
              <w:t>一是积极谋划全市旅发大会被支持项目。</w:t>
            </w:r>
            <w:r>
              <w:rPr>
                <w:rFonts w:hint="eastAsia" w:ascii="仿宋_GB2312" w:hAnsi="Times New Roman" w:eastAsia="仿宋_GB2312" w:cs="Times New Roman"/>
                <w:kern w:val="0"/>
              </w:rPr>
              <w:t>区供销联社领导班子多次前往市社汇报工作。</w:t>
            </w:r>
          </w:p>
          <w:p>
            <w:pPr>
              <w:widowControl/>
              <w:spacing w:line="240" w:lineRule="exact"/>
              <w:jc w:val="left"/>
              <w:rPr>
                <w:rFonts w:hint="eastAsia" w:ascii="仿宋_GB2312" w:hAnsi="宋体" w:eastAsia="仿宋_GB2312" w:cs="宋体"/>
                <w:kern w:val="0"/>
              </w:rPr>
            </w:pPr>
            <w:r>
              <w:rPr>
                <w:rFonts w:hint="eastAsia" w:ascii="仿宋_GB2312" w:hAnsi="仿宋" w:eastAsia="仿宋_GB2312" w:cs="Times New Roman"/>
                <w:b/>
                <w:kern w:val="0"/>
              </w:rPr>
              <w:t>二是全面落实“两个到户工作。</w:t>
            </w:r>
            <w:r>
              <w:rPr>
                <w:rFonts w:hint="eastAsia" w:ascii="仿宋_GB2312" w:hAnsi="Segoe UI" w:eastAsia="仿宋_GB2312" w:cs="Segoe UI"/>
                <w:kern w:val="0"/>
              </w:rPr>
              <w:t>有效地解决了全区大部分农民通过23个村级综合服务社购买日常消费品送货上门到户问题；</w:t>
            </w:r>
            <w:r>
              <w:rPr>
                <w:rFonts w:hint="eastAsia" w:ascii="仿宋_GB2312" w:hAnsi="Times New Roman" w:eastAsia="仿宋_GB2312" w:cs="Times New Roman"/>
                <w:kern w:val="0"/>
              </w:rPr>
              <w:t>在金杜村建设1个高质量发展基层社，在黄家坪村和杨家界居委会建设了全区的村级综合服务社示范社，以</w:t>
            </w:r>
            <w:r>
              <w:rPr>
                <w:rFonts w:hint="eastAsia" w:ascii="仿宋_GB2312" w:hAnsi="Times New Roman" w:eastAsia="仿宋_GB2312" w:cs="Times New Roman"/>
                <w:color w:val="333333"/>
                <w:spacing w:val="8"/>
                <w:kern w:val="0"/>
              </w:rPr>
              <w:t>更好地发挥了为“三农”服务的作用。</w:t>
            </w:r>
            <w:r>
              <w:rPr>
                <w:rFonts w:hint="eastAsia" w:ascii="仿宋_GB2312" w:hAnsi="Times New Roman" w:eastAsia="仿宋_GB2312" w:cs="Times New Roman"/>
                <w:b/>
                <w:kern w:val="0"/>
              </w:rPr>
              <w:t>三是加强对基层网点监督管理。</w:t>
            </w:r>
            <w:r>
              <w:rPr>
                <w:rFonts w:hint="eastAsia" w:ascii="仿宋_GB2312" w:hAnsi="Times New Roman" w:eastAsia="仿宋_GB2312" w:cs="Times New Roman"/>
                <w:kern w:val="0"/>
              </w:rPr>
              <w:t>实施“季督查”和随机抽查相结合模式对基层网点运营情况进行管理，不定时对全区各乡（街道）的村居综合服务社进行安全生产、食品安全、安全农资检查，及时掌握网点运营中存在的不足。全年开展4轮督查工作。</w:t>
            </w:r>
            <w:r>
              <w:rPr>
                <w:rFonts w:hint="eastAsia" w:ascii="仿宋_GB2312" w:hAnsi="Times New Roman" w:eastAsia="仿宋_GB2312" w:cs="Times New Roman"/>
                <w:b/>
                <w:bCs/>
                <w:kern w:val="0"/>
              </w:rPr>
              <w:t>四是</w:t>
            </w:r>
            <w:r>
              <w:rPr>
                <w:rFonts w:hint="eastAsia" w:ascii="仿宋_GB2312" w:hAnsi="Times New Roman" w:eastAsia="仿宋_GB2312" w:cs="Times New Roman"/>
                <w:b/>
                <w:kern w:val="0"/>
              </w:rPr>
              <w:t>及时上报供销社行业经济发展数据。五是</w:t>
            </w:r>
            <w:r>
              <w:rPr>
                <w:rFonts w:hint="eastAsia" w:ascii="仿宋_GB2312" w:hAnsi="Times New Roman" w:eastAsia="仿宋_GB2312" w:cs="Times New Roman"/>
                <w:b/>
                <w:bCs/>
                <w:kern w:val="0"/>
              </w:rPr>
              <w:t>建好乡村振兴项</w:t>
            </w:r>
            <w:r>
              <w:rPr>
                <w:rFonts w:hint="eastAsia" w:ascii="仿宋_GB2312" w:hAnsi="Times New Roman" w:eastAsia="仿宋_GB2312" w:cs="Times New Roman"/>
                <w:b/>
                <w:kern w:val="0"/>
              </w:rPr>
              <w:t>目产业基地，社会效益，经济效益良好。</w:t>
            </w:r>
            <w:r>
              <w:rPr>
                <w:rFonts w:hint="eastAsia" w:ascii="仿宋_GB2312" w:hAnsi="仿宋" w:eastAsia="仿宋_GB2312" w:cs="Times New Roman"/>
                <w:kern w:val="0"/>
              </w:rPr>
              <w:t>完成金杜村和黄家坪村200亩莓茶及金杜村100亩黄精药材基地的建设，在</w:t>
            </w:r>
            <w:r>
              <w:rPr>
                <w:rFonts w:hint="eastAsia" w:ascii="仿宋_GB2312" w:hAnsi="Segoe UI" w:eastAsia="仿宋_GB2312" w:cs="Segoe UI"/>
                <w:kern w:val="0"/>
              </w:rPr>
              <w:t>产业发展的种植基地建设和发展壮大过程中，有效提高了当地农业产值和农民收入，赢得了有利益联结关系农民的热烈欢迎和高度评价。</w:t>
            </w:r>
            <w:r>
              <w:rPr>
                <w:rFonts w:hint="eastAsia" w:ascii="仿宋_GB2312" w:hAnsi="Times New Roman" w:eastAsia="仿宋_GB2312" w:cs="Times New Roman"/>
                <w:kern w:val="0"/>
              </w:rPr>
              <w:t>小背笼合作社和湘阿妹公司的葛根、莓茶产品在线销售红红火火。文风村的小背篓基层社红薯基地、中湖乡桃花溪葡萄园、协合乡峰三千家庭农场丰收，经济效益好。</w:t>
            </w:r>
            <w:r>
              <w:rPr>
                <w:rFonts w:hint="eastAsia" w:ascii="仿宋_GB2312" w:hAnsi="楷体" w:eastAsia="仿宋_GB2312" w:cs="Segoe UI"/>
                <w:kern w:val="0"/>
              </w:rPr>
              <w:t>六是大力实施“强基强能”工程.</w:t>
            </w:r>
            <w:r>
              <w:rPr>
                <w:rFonts w:hint="eastAsia" w:ascii="仿宋_GB2312" w:hAnsi="Segoe UI" w:eastAsia="仿宋_GB2312" w:cs="Segoe UI"/>
                <w:kern w:val="0"/>
              </w:rPr>
              <w:t>加强了李家岗村、定家庄村、檀木岗村、小背篓、杨家界居委会、黄家坪村、金杜村合计7个基层社的建设，优化了组织架构，提高了服务能力和水平；加强了协合乡、中湖乡、天子山街道、索溪峪街道5个合作经济组织联合会的建设，积极推动资源整合和业务协同工作</w:t>
            </w:r>
            <w:r>
              <w:rPr>
                <w:rFonts w:hint="eastAsia" w:ascii="仿宋_GB2312" w:hAnsi="宋体" w:eastAsia="仿宋_GB2312" w:cs="宋体"/>
                <w:kern w:val="0"/>
              </w:rPr>
              <w:t>.</w:t>
            </w:r>
          </w:p>
          <w:p>
            <w:pPr>
              <w:widowControl/>
              <w:spacing w:line="240" w:lineRule="exact"/>
              <w:jc w:val="left"/>
              <w:rPr>
                <w:rFonts w:hint="eastAsia" w:ascii="仿宋_GB2312" w:hAnsi="Times New Roman" w:eastAsia="仿宋_GB2312" w:cs="Times New Roman"/>
                <w:kern w:val="0"/>
              </w:rPr>
            </w:pPr>
            <w:r>
              <w:rPr>
                <w:rFonts w:hint="eastAsia" w:ascii="仿宋_GB2312" w:hAnsi="Times New Roman" w:eastAsia="仿宋_GB2312" w:cs="Times New Roman"/>
                <w:b/>
                <w:kern w:val="0"/>
              </w:rPr>
              <w:t>（二）</w:t>
            </w:r>
            <w:r>
              <w:rPr>
                <w:rFonts w:hint="eastAsia" w:ascii="仿宋_GB2312" w:hAnsi="Times New Roman" w:eastAsia="仿宋_GB2312" w:cs="Times New Roman"/>
                <w:bCs/>
                <w:kern w:val="0"/>
              </w:rPr>
              <w:t>党建工作有序开展。</w:t>
            </w:r>
            <w:r>
              <w:rPr>
                <w:rFonts w:hint="eastAsia" w:ascii="仿宋_GB2312" w:hAnsi="Times New Roman" w:eastAsia="仿宋_GB2312" w:cs="Times New Roman"/>
                <w:b/>
                <w:kern w:val="0"/>
              </w:rPr>
              <w:t>一是根据区纪委对我社的巡察工作要求狠抓</w:t>
            </w:r>
            <w:r>
              <w:rPr>
                <w:rFonts w:hint="eastAsia" w:ascii="仿宋_GB2312" w:hAnsi="Times New Roman" w:eastAsia="仿宋_GB2312" w:cs="Times New Roman"/>
                <w:b/>
                <w:color w:val="333333"/>
                <w:spacing w:val="8"/>
                <w:kern w:val="0"/>
              </w:rPr>
              <w:t>“党员干部作风效能深化年活动”</w:t>
            </w:r>
            <w:r>
              <w:rPr>
                <w:rFonts w:hint="eastAsia" w:ascii="仿宋_GB2312" w:hAnsi="Times New Roman" w:eastAsia="仿宋_GB2312" w:cs="Times New Roman"/>
                <w:b/>
                <w:kern w:val="0"/>
              </w:rPr>
              <w:t>工作。</w:t>
            </w:r>
            <w:r>
              <w:rPr>
                <w:rFonts w:hint="eastAsia" w:ascii="仿宋_GB2312" w:hAnsi="黑体" w:eastAsia="仿宋_GB2312" w:cs="Segoe UI"/>
                <w:kern w:val="0"/>
              </w:rPr>
              <w:t>认真开展了巡察整改、系统反腐专项整治活动。</w:t>
            </w:r>
            <w:r>
              <w:rPr>
                <w:rFonts w:hint="eastAsia" w:ascii="仿宋_GB2312" w:eastAsia="仿宋_GB2312" w:cs="Times New Roman"/>
                <w:bCs/>
                <w:kern w:val="0"/>
              </w:rPr>
              <w:t>社党支部严格要求党员对</w:t>
            </w:r>
            <w:r>
              <w:rPr>
                <w:rFonts w:hint="eastAsia" w:ascii="仿宋_GB2312" w:hAnsi="Times New Roman" w:eastAsia="仿宋_GB2312" w:cs="Times New Roman"/>
                <w:bCs/>
                <w:kern w:val="0"/>
              </w:rPr>
              <w:t>照“六严禁”“十一个问题”“八种表现”深入查验检视自身问题，围绕</w:t>
            </w:r>
            <w:r>
              <w:rPr>
                <w:rFonts w:hint="eastAsia" w:ascii="仿宋_GB2312" w:hAnsi="宋体" w:eastAsia="仿宋_GB2312" w:cs="Times New Roman"/>
                <w:bCs/>
                <w:kern w:val="0"/>
              </w:rPr>
              <w:t>为期</w:t>
            </w:r>
            <w:r>
              <w:rPr>
                <w:rFonts w:hint="eastAsia" w:ascii="仿宋_GB2312" w:hAnsi="Times New Roman" w:eastAsia="仿宋_GB2312" w:cs="Times New Roman"/>
                <w:bCs/>
                <w:kern w:val="0"/>
              </w:rPr>
              <w:t>2个月的政治巡察、首届全省旅发会工作要求、拆违控违、文明城市创建、食安创建等重点工作抓效能提升，抓工作落实。尤其是在会风会纪、履职尽责、工作纪律等方面严格要求工作人员，成效明显。上半年，社党支部领导班子成员严格按照巡察要求完成3次全体党员干部的集中专题谈话，敦促存在多报、须报账目行为的同志深入自查自纠、珍惜机会、主动整改。还就违规吃喝“十严禁”、志愿服务、干部信息采集等开展2次全体党员干部专项谈话，多次强调作风纪律。下半年积极开展学习贯彻习近平新时代中国特色社会主义思想主题教育理论学习活动，深化推进“四看四比四提升”主题活动，大兴调查研究，搞好“走找想促”工作</w:t>
            </w:r>
            <w:r>
              <w:rPr>
                <w:rFonts w:hint="eastAsia" w:ascii="仿宋_GB2312" w:hAnsi="Times New Roman" w:eastAsia="仿宋_GB2312" w:cs="Times New Roman"/>
                <w:b/>
                <w:kern w:val="0"/>
              </w:rPr>
              <w:t>。</w:t>
            </w:r>
            <w:r>
              <w:rPr>
                <w:rFonts w:hint="eastAsia" w:ascii="仿宋_GB2312" w:eastAsia="仿宋_GB2312" w:cs="Segoe UI"/>
                <w:kern w:val="0"/>
              </w:rPr>
              <w:t>对党员干部中的违规违纪行为进行了严肃查处，对存在的问题进行了纠正和整改。对廉政风险点进行了深入分析，建立了内控制度，制度建设得到了进一步加强，廉政风险的防控水平也得到了进一步提升。根据新的人是安排实际情况，我社加强了党支部的建设，优化了组织架构，解决了党支部党员的实际困难，如充分考虑老党员唐芳武的实际贫困状况向区直机关工委申请减免党费，得到了批准。社党支部通过主题党日活动、主题教育及研讨会等提高了党支部的凝聚力和战斗力。</w:t>
            </w:r>
            <w:r>
              <w:rPr>
                <w:rFonts w:hint="eastAsia" w:ascii="仿宋_GB2312" w:hAnsi="Times New Roman" w:eastAsia="仿宋_GB2312" w:cs="Times New Roman"/>
                <w:b/>
                <w:kern w:val="0"/>
              </w:rPr>
              <w:t>二是积极响应清廉机关创建文件精神</w:t>
            </w:r>
            <w:r>
              <w:rPr>
                <w:rFonts w:hint="eastAsia" w:ascii="仿宋_GB2312" w:hAnsi="Times New Roman" w:eastAsia="仿宋_GB2312" w:cs="Times New Roman"/>
                <w:bCs/>
                <w:kern w:val="0"/>
              </w:rPr>
              <w:t>。结合供销联社实际，社党支部积极组织党员、干部认真学习习近平总书记关于全面从严治党、党风廉政建设、廉洁文化建设的重要论述。尤其教育党员干部要注意时刻保持清醒的头脑自觉提高政治判断力，从严管好家属，深入推进清廉供销社建设。</w:t>
            </w:r>
            <w:r>
              <w:rPr>
                <w:rFonts w:hint="eastAsia" w:ascii="仿宋_GB2312" w:hAnsi="Times New Roman" w:eastAsia="仿宋_GB2312" w:cs="Times New Roman"/>
                <w:b/>
                <w:bCs/>
                <w:color w:val="333333"/>
                <w:spacing w:val="8"/>
                <w:kern w:val="0"/>
              </w:rPr>
              <w:t>三是抓好党课宣讲和主题党日活动。</w:t>
            </w:r>
            <w:r>
              <w:rPr>
                <w:rFonts w:hint="eastAsia" w:ascii="仿宋_GB2312" w:hAnsi="Times New Roman" w:eastAsia="仿宋_GB2312" w:cs="Times New Roman"/>
                <w:color w:val="333333"/>
                <w:spacing w:val="8"/>
                <w:kern w:val="0"/>
              </w:rPr>
              <w:t>要求党员干部认真抓好相关书籍和文件精神的学习，备好党课，确保了党支部班子成员发言有提纲，内容扣主题。做到党员人人有笔记，个个谈体会。上半年由胡绍华讲了合计2次党课。下半年，宋国新和邓鹏各讲1次党课。</w:t>
            </w:r>
            <w:r>
              <w:rPr>
                <w:rFonts w:hint="eastAsia" w:ascii="仿宋_GB2312" w:hAnsi="Times New Roman" w:eastAsia="仿宋_GB2312" w:cs="Times New Roman"/>
                <w:kern w:val="0"/>
              </w:rPr>
              <w:t>结合单位工作需要及党建工作要求，开展创建食品安全示范城市宣传、开展意识形态教育主题、城市清洁日活动、“助力旅游发展大会.共创全国文明城市”志愿服务活动、村级综合服务社安全隐患排查、二十大报告精神的宣传宣讲等主题党日活动。</w:t>
            </w:r>
            <w:r>
              <w:rPr>
                <w:rFonts w:hint="eastAsia" w:ascii="仿宋_GB2312" w:hAnsi="Times New Roman" w:eastAsia="仿宋_GB2312" w:cs="Times New Roman"/>
                <w:b/>
                <w:bCs/>
                <w:color w:val="333333"/>
                <w:spacing w:val="8"/>
                <w:kern w:val="0"/>
              </w:rPr>
              <w:t>四</w:t>
            </w:r>
            <w:r>
              <w:rPr>
                <w:rFonts w:hint="eastAsia" w:ascii="仿宋_GB2312" w:hAnsi="Times New Roman" w:eastAsia="仿宋_GB2312" w:cs="Times New Roman"/>
                <w:b/>
                <w:bCs/>
                <w:kern w:val="0"/>
              </w:rPr>
              <w:t>是着力于</w:t>
            </w:r>
            <w:r>
              <w:rPr>
                <w:rFonts w:hint="eastAsia" w:ascii="仿宋_GB2312" w:hAnsi="Times New Roman" w:eastAsia="仿宋_GB2312" w:cs="Times New Roman"/>
                <w:b/>
                <w:bCs/>
                <w:color w:val="333333"/>
                <w:spacing w:val="8"/>
                <w:kern w:val="0"/>
              </w:rPr>
              <w:t>抓好为群众办实事，做好党建日常工作。</w:t>
            </w:r>
            <w:r>
              <w:rPr>
                <w:rFonts w:hint="eastAsia" w:ascii="仿宋_GB2312" w:eastAsia="仿宋_GB2312" w:cs="Times New Roman"/>
                <w:bCs/>
                <w:kern w:val="0"/>
              </w:rPr>
              <w:t>着力于清廉机关创建，积极开展全区清廉单位创建活动，全面提升干部施工干事创业的积极性，助推供销联社工作高质量发展；</w:t>
            </w:r>
            <w:r>
              <w:rPr>
                <w:rFonts w:hint="eastAsia" w:ascii="仿宋_GB2312" w:hAnsi="Times New Roman" w:eastAsia="仿宋_GB2312" w:cs="Times New Roman"/>
                <w:color w:val="333333"/>
                <w:spacing w:val="8"/>
                <w:kern w:val="0"/>
              </w:rPr>
              <w:t>积极参加“四季同行.雷锋家乡学雷锋”文明志愿服务活动，在喻家嘴十字路口进行文明劝导服务；积极开展“指尖上的形式主义”专项整治工作；搞好全区村（居）惠农供销综合服务社平安创建，开展安全生产、食品安全检查活动，宣讲安全生产、食品安全知识，排除安全隐患，共建文明城乡</w:t>
            </w:r>
            <w:r>
              <w:rPr>
                <w:rFonts w:hint="eastAsia" w:ascii="仿宋_GB2312" w:hAnsi="Times New Roman" w:eastAsia="仿宋_GB2312" w:cs="Times New Roman"/>
                <w:kern w:val="0"/>
              </w:rPr>
              <w:t xml:space="preserve">；多次入店走访6家食品安全包保督导责任店；上半年多次走访迎宾路社区帮扶联系户10户，下半年到杨家界居委会走访帮扶户1次合计8户。通过入户走访、召开屋场会等形式开展创建食品安全城市、反电信网络诈骗、国家安全、防范邪教和间谍、全国民族团结示范城市创建、乡村拆违控违包户、积极助力湖南首届旅游发展大会等宣传宣讲；搞好对退休职工邓昌禄及其他3个军转退休职工的春节、八一慰问。 </w:t>
            </w:r>
          </w:p>
          <w:p>
            <w:pPr>
              <w:widowControl/>
              <w:spacing w:line="240" w:lineRule="exact"/>
              <w:jc w:val="left"/>
              <w:rPr>
                <w:rFonts w:hint="eastAsia" w:ascii="仿宋_GB2312" w:hAnsi="Times New Roman" w:eastAsia="仿宋_GB2312" w:cs="Times New Roman"/>
                <w:color w:val="333333"/>
                <w:spacing w:val="8"/>
                <w:kern w:val="0"/>
              </w:rPr>
            </w:pPr>
            <w:r>
              <w:rPr>
                <w:rFonts w:hint="eastAsia" w:ascii="仿宋_GB2312" w:hAnsi="Times New Roman" w:eastAsia="仿宋_GB2312" w:cs="Times New Roman"/>
                <w:b/>
                <w:kern w:val="0"/>
              </w:rPr>
              <w:t>（三）</w:t>
            </w:r>
            <w:r>
              <w:rPr>
                <w:rFonts w:hint="eastAsia" w:ascii="仿宋_GB2312" w:hAnsi="Times New Roman" w:eastAsia="仿宋_GB2312" w:cs="Times New Roman"/>
                <w:bCs/>
              </w:rPr>
              <w:t>自身建设不断强化。</w:t>
            </w:r>
            <w:r>
              <w:rPr>
                <w:rFonts w:hint="eastAsia" w:ascii="仿宋_GB2312" w:hAnsi="Times New Roman" w:eastAsia="仿宋_GB2312" w:cs="Times New Roman"/>
                <w:b/>
                <w:color w:val="222222"/>
              </w:rPr>
              <w:t>一是干部队伍建设不断加强。</w:t>
            </w:r>
            <w:r>
              <w:rPr>
                <w:rFonts w:hint="eastAsia" w:ascii="仿宋_GB2312" w:hAnsi="Times New Roman" w:eastAsia="仿宋_GB2312" w:cs="Times New Roman"/>
                <w:color w:val="222222"/>
              </w:rPr>
              <w:t>加强机构建设，通过作风建设，全体工作人员努力工作，顺利完成全年工作任务；全年异动6名领导干部。</w:t>
            </w:r>
            <w:r>
              <w:rPr>
                <w:rFonts w:hint="eastAsia" w:ascii="仿宋_GB2312" w:hAnsi="Times New Roman" w:eastAsia="仿宋_GB2312" w:cs="Times New Roman"/>
                <w:b/>
                <w:bCs/>
                <w:color w:val="222222"/>
              </w:rPr>
              <w:t>二是建设文明学习型单位。</w:t>
            </w:r>
            <w:r>
              <w:rPr>
                <w:rFonts w:hint="eastAsia" w:ascii="仿宋_GB2312" w:hAnsi="Times New Roman" w:eastAsia="仿宋_GB2312" w:cs="Times New Roman"/>
                <w:color w:val="222222"/>
              </w:rPr>
              <w:t>通过干部不断自学，干部队伍素质、工作效率逐步提高。</w:t>
            </w:r>
          </w:p>
          <w:p>
            <w:pPr>
              <w:spacing w:line="320" w:lineRule="exact"/>
              <w:rPr>
                <w:rFonts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相关资质认可或执业许可证明文件及有 效 期</w:t>
            </w:r>
          </w:p>
        </w:tc>
        <w:tc>
          <w:tcPr>
            <w:tcW w:w="7920" w:type="dxa"/>
            <w:gridSpan w:val="4"/>
            <w:tcBorders>
              <w:top w:val="single" w:color="auto" w:sz="4" w:space="0"/>
              <w:left w:val="nil"/>
              <w:bottom w:val="single" w:color="auto" w:sz="4" w:space="0"/>
              <w:right w:val="single" w:color="auto" w:sz="12" w:space="0"/>
            </w:tcBorders>
            <w:vAlign w:val="center"/>
          </w:tcPr>
          <w:p>
            <w:pPr>
              <w:spacing w:line="560" w:lineRule="exact"/>
              <w:rPr>
                <w:rFonts w:ascii="楷体_GB2312" w:hAnsi="楷体" w:eastAsia="楷体_GB2312"/>
                <w:b/>
                <w:bCs/>
                <w:sz w:val="32"/>
                <w:szCs w:val="32"/>
              </w:rPr>
            </w:pPr>
          </w:p>
          <w:p>
            <w:pPr>
              <w:spacing w:line="560" w:lineRule="exact"/>
              <w:rPr>
                <w:rFonts w:hint="eastAsia" w:ascii="楷体_GB2312" w:hAnsi="楷体" w:eastAsia="楷体_GB2312"/>
                <w:b/>
                <w:bCs/>
                <w:sz w:val="32"/>
                <w:szCs w:val="32"/>
              </w:rPr>
            </w:pPr>
            <w:r>
              <w:rPr>
                <w:rFonts w:hint="eastAsia" w:ascii="楷体_GB2312" w:hAnsi="楷体" w:eastAsia="楷体_GB2312"/>
                <w:b/>
                <w:bCs/>
                <w:sz w:val="32"/>
                <w:szCs w:val="32"/>
              </w:rPr>
              <w:t>有效期：2026年5月17日</w:t>
            </w:r>
          </w:p>
          <w:p>
            <w:pPr>
              <w:spacing w:line="560" w:lineRule="exact"/>
              <w:rPr>
                <w:rFonts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21" w:type="dxa"/>
            <w:vMerge w:val="restart"/>
            <w:tcBorders>
              <w:top w:val="nil"/>
              <w:left w:val="single" w:color="auto" w:sz="12" w:space="0"/>
              <w:bottom w:val="single" w:color="auto" w:sz="4" w:space="0"/>
              <w:right w:val="single" w:color="auto" w:sz="12" w:space="0"/>
            </w:tcBorders>
            <w:vAlign w:val="center"/>
          </w:tcPr>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资产</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损益</w:t>
            </w:r>
          </w:p>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所有者权益合计（净资产合计）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1" w:type="dxa"/>
            <w:vMerge w:val="continue"/>
            <w:tcBorders>
              <w:top w:val="nil"/>
              <w:left w:val="single" w:color="auto" w:sz="12" w:space="0"/>
              <w:bottom w:val="single" w:color="auto" w:sz="4" w:space="0"/>
              <w:right w:val="single" w:color="auto" w:sz="12" w:space="0"/>
            </w:tcBorders>
            <w:vAlign w:val="center"/>
          </w:tcPr>
          <w:p>
            <w:pPr>
              <w:widowControl/>
              <w:jc w:val="left"/>
              <w:rPr>
                <w:rFonts w:ascii="楷体_GB2312" w:hAnsi="楷体" w:eastAsia="楷体_GB2312"/>
                <w:b/>
                <w:bCs/>
                <w:sz w:val="32"/>
                <w:szCs w:val="32"/>
              </w:rPr>
            </w:pPr>
          </w:p>
        </w:tc>
        <w:tc>
          <w:tcPr>
            <w:tcW w:w="3959" w:type="dxa"/>
            <w:gridSpan w:val="3"/>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年初数（万元）</w:t>
            </w:r>
          </w:p>
        </w:tc>
        <w:tc>
          <w:tcPr>
            <w:tcW w:w="3961" w:type="dxa"/>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期末数（万元）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21" w:type="dxa"/>
            <w:vMerge w:val="continue"/>
            <w:tcBorders>
              <w:top w:val="nil"/>
              <w:left w:val="single" w:color="auto" w:sz="12" w:space="0"/>
              <w:bottom w:val="single" w:color="auto" w:sz="4" w:space="0"/>
              <w:right w:val="single" w:color="auto" w:sz="12" w:space="0"/>
            </w:tcBorders>
            <w:vAlign w:val="center"/>
          </w:tcPr>
          <w:p>
            <w:pPr>
              <w:widowControl/>
              <w:jc w:val="left"/>
              <w:rPr>
                <w:rFonts w:ascii="楷体_GB2312" w:hAnsi="楷体" w:eastAsia="楷体_GB2312"/>
                <w:b/>
                <w:bCs/>
                <w:sz w:val="32"/>
                <w:szCs w:val="32"/>
              </w:rPr>
            </w:pPr>
          </w:p>
        </w:tc>
        <w:tc>
          <w:tcPr>
            <w:tcW w:w="3959" w:type="dxa"/>
            <w:gridSpan w:val="3"/>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8</w:t>
            </w:r>
          </w:p>
        </w:tc>
        <w:tc>
          <w:tcPr>
            <w:tcW w:w="3961" w:type="dxa"/>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1621"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受奖</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惩评</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估及</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诉讼</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投诉</w:t>
            </w:r>
          </w:p>
          <w:p>
            <w:pPr>
              <w:adjustRightInd w:val="0"/>
              <w:snapToGrid w:val="0"/>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12" w:space="0"/>
              <w:left w:val="nil"/>
              <w:bottom w:val="single" w:color="auto" w:sz="4" w:space="0"/>
              <w:right w:val="single" w:color="auto" w:sz="12" w:space="0"/>
            </w:tcBorders>
          </w:tcPr>
          <w:p>
            <w:pPr>
              <w:spacing w:line="560" w:lineRule="exact"/>
              <w:jc w:val="left"/>
              <w:rPr>
                <w:rFonts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center"/>
              <w:rPr>
                <w:rFonts w:eastAsia="楷体_GB2312" w:asciiTheme="minorHAnsi" w:hAnsi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621" w:type="dxa"/>
            <w:tcBorders>
              <w:top w:val="single" w:color="auto" w:sz="4" w:space="0"/>
              <w:left w:val="single" w:color="auto" w:sz="12" w:space="0"/>
              <w:bottom w:val="single" w:color="auto" w:sz="8" w:space="0"/>
              <w:right w:val="single" w:color="auto" w:sz="4" w:space="0"/>
            </w:tcBorders>
            <w:vAlign w:val="center"/>
          </w:tcPr>
          <w:p>
            <w:pPr>
              <w:spacing w:line="560" w:lineRule="exact"/>
              <w:ind w:firstLine="321" w:firstLineChars="100"/>
              <w:rPr>
                <w:rFonts w:ascii="楷体_GB2312" w:hAnsi="楷体" w:eastAsia="楷体_GB2312"/>
                <w:b/>
                <w:bCs/>
                <w:sz w:val="32"/>
                <w:szCs w:val="32"/>
              </w:rPr>
            </w:pPr>
            <w:r>
              <w:rPr>
                <w:rFonts w:hint="eastAsia" w:ascii="楷体_GB2312" w:hAnsi="楷体" w:eastAsia="楷体_GB2312"/>
                <w:b/>
                <w:bCs/>
                <w:sz w:val="32"/>
                <w:szCs w:val="32"/>
              </w:rPr>
              <w:t>接受</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捐赠</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资助</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及其</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使用</w:t>
            </w:r>
          </w:p>
          <w:p>
            <w:pPr>
              <w:spacing w:line="560" w:lineRule="exact"/>
              <w:ind w:firstLine="321" w:firstLineChars="100"/>
              <w:rPr>
                <w:rFonts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nil"/>
              <w:bottom w:val="single" w:color="auto" w:sz="8" w:space="0"/>
              <w:right w:val="single" w:color="auto" w:sz="12" w:space="0"/>
            </w:tcBorders>
          </w:tcPr>
          <w:p>
            <w:pPr>
              <w:spacing w:line="560" w:lineRule="exact"/>
              <w:jc w:val="left"/>
              <w:rPr>
                <w:rFonts w:ascii="楷体_GB2312" w:hAnsi="楷体" w:eastAsia="楷体_GB2312"/>
                <w:sz w:val="32"/>
                <w:szCs w:val="32"/>
              </w:rPr>
            </w:pPr>
          </w:p>
          <w:p>
            <w:pPr>
              <w:spacing w:line="560" w:lineRule="exact"/>
              <w:jc w:val="center"/>
              <w:rPr>
                <w:rFonts w:hint="eastAsia" w:ascii="楷体_GB2312" w:hAnsi="楷体" w:eastAsia="楷体_GB2312"/>
                <w:sz w:val="32"/>
                <w:szCs w:val="32"/>
              </w:rPr>
            </w:pPr>
            <w:r>
              <w:rPr>
                <w:rFonts w:hint="eastAsia" w:ascii="楷体_GB2312" w:hAnsi="楷体" w:eastAsia="楷体_GB2312"/>
                <w:sz w:val="32"/>
                <w:szCs w:val="32"/>
              </w:rPr>
              <w:t>无</w:t>
            </w: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621" w:type="dxa"/>
            <w:vMerge w:val="restart"/>
            <w:tcBorders>
              <w:top w:val="nil"/>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从业人数</w:t>
            </w:r>
          </w:p>
        </w:tc>
        <w:tc>
          <w:tcPr>
            <w:tcW w:w="1440" w:type="dxa"/>
            <w:tcBorders>
              <w:top w:val="single" w:color="auto" w:sz="8"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上年末</w:t>
            </w:r>
          </w:p>
        </w:tc>
        <w:tc>
          <w:tcPr>
            <w:tcW w:w="6480" w:type="dxa"/>
            <w:gridSpan w:val="3"/>
            <w:tcBorders>
              <w:top w:val="single" w:color="auto" w:sz="8" w:space="0"/>
              <w:left w:val="nil"/>
              <w:bottom w:val="single" w:color="auto" w:sz="4" w:space="0"/>
              <w:right w:val="single" w:color="auto" w:sz="12" w:space="0"/>
            </w:tcBorders>
            <w:vAlign w:val="center"/>
          </w:tcPr>
          <w:p>
            <w:pPr>
              <w:spacing w:line="560" w:lineRule="exact"/>
              <w:jc w:val="center"/>
              <w:rPr>
                <w:rFonts w:ascii="楷体_GB2312" w:hAnsi="楷体" w:eastAsia="楷体_GB2312"/>
                <w:sz w:val="32"/>
                <w:szCs w:val="32"/>
              </w:rPr>
            </w:pPr>
            <w:r>
              <w:rPr>
                <w:rFonts w:ascii="楷体_GB2312" w:hAnsi="楷体" w:eastAsia="楷体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621" w:type="dxa"/>
            <w:vMerge w:val="continue"/>
            <w:tcBorders>
              <w:top w:val="nil"/>
              <w:left w:val="single" w:color="auto" w:sz="12" w:space="0"/>
              <w:bottom w:val="single" w:color="auto" w:sz="4" w:space="0"/>
              <w:right w:val="single" w:color="auto" w:sz="4" w:space="0"/>
            </w:tcBorders>
            <w:vAlign w:val="center"/>
          </w:tcPr>
          <w:p>
            <w:pPr>
              <w:widowControl/>
              <w:jc w:val="left"/>
              <w:rPr>
                <w:rFonts w:ascii="楷体_GB2312" w:hAnsi="楷体" w:eastAsia="楷体_GB2312"/>
                <w:b/>
                <w:bCs/>
                <w:sz w:val="32"/>
                <w:szCs w:val="32"/>
              </w:rPr>
            </w:pP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本年度</w:t>
            </w:r>
          </w:p>
        </w:tc>
        <w:tc>
          <w:tcPr>
            <w:tcW w:w="6480" w:type="dxa"/>
            <w:gridSpan w:val="3"/>
            <w:tcBorders>
              <w:top w:val="single" w:color="auto" w:sz="4" w:space="0"/>
              <w:left w:val="nil"/>
              <w:bottom w:val="single" w:color="auto" w:sz="4" w:space="0"/>
              <w:right w:val="single" w:color="auto" w:sz="12" w:space="0"/>
            </w:tcBorders>
            <w:vAlign w:val="center"/>
          </w:tcPr>
          <w:p>
            <w:pPr>
              <w:spacing w:line="560" w:lineRule="exact"/>
              <w:jc w:val="center"/>
              <w:rPr>
                <w:rFonts w:ascii="楷体_GB2312" w:hAnsi="楷体" w:eastAsia="楷体_GB2312"/>
                <w:sz w:val="32"/>
                <w:szCs w:val="32"/>
              </w:rPr>
            </w:pPr>
            <w:r>
              <w:rPr>
                <w:rFonts w:hint="eastAsia" w:ascii="楷体_GB2312" w:hAnsi="楷体" w:eastAsia="楷体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60" w:lineRule="exact"/>
              <w:jc w:val="center"/>
              <w:rPr>
                <w:rFonts w:ascii="楷体_GB2312" w:hAnsi="楷体" w:eastAsia="楷体_GB2312"/>
                <w:b/>
                <w:bCs/>
                <w:sz w:val="32"/>
                <w:szCs w:val="32"/>
              </w:rPr>
            </w:pPr>
            <w:r>
              <w:rPr>
                <w:rFonts w:hint="eastAsia" w:ascii="楷体_GB2312" w:hAnsi="楷体" w:eastAsia="楷体_GB2312"/>
                <w:b/>
                <w:bCs/>
                <w:sz w:val="32"/>
                <w:szCs w:val="32"/>
              </w:rPr>
              <w:t>网上名称</w:t>
            </w:r>
          </w:p>
        </w:tc>
        <w:tc>
          <w:tcPr>
            <w:tcW w:w="7920" w:type="dxa"/>
            <w:gridSpan w:val="4"/>
            <w:tcBorders>
              <w:top w:val="single" w:color="auto" w:sz="4" w:space="0"/>
              <w:left w:val="nil"/>
              <w:bottom w:val="single" w:color="auto" w:sz="4" w:space="0"/>
              <w:right w:val="single" w:color="auto" w:sz="12" w:space="0"/>
            </w:tcBorders>
            <w:vAlign w:val="center"/>
          </w:tcPr>
          <w:p>
            <w:pPr>
              <w:spacing w:line="560" w:lineRule="exact"/>
              <w:jc w:val="both"/>
              <w:rPr>
                <w:rFonts w:ascii="楷体_GB2312" w:hAnsi="楷体" w:eastAsia="楷体_GB2312"/>
                <w:sz w:val="32"/>
                <w:szCs w:val="32"/>
              </w:rPr>
            </w:pPr>
            <w:bookmarkStart w:id="0" w:name="_GoBack"/>
            <w:bookmarkEnd w:id="0"/>
            <w:r>
              <w:rPr>
                <w:rFonts w:hint="eastAsia" w:ascii="楷体_GB2312" w:hAnsi="楷体" w:eastAsia="楷体_GB2312"/>
                <w:b/>
                <w:bCs/>
                <w:sz w:val="32"/>
                <w:szCs w:val="32"/>
              </w:rPr>
              <w:t xml:space="preserve">      </w:t>
            </w:r>
            <w:r>
              <w:rPr>
                <w:rFonts w:hint="eastAsia" w:ascii="楷体_GB2312" w:hAnsi="楷体" w:eastAsia="楷体_GB2312"/>
                <w:b/>
                <w:bCs/>
                <w:sz w:val="32"/>
                <w:szCs w:val="32"/>
                <w:lang w:eastAsia="zh-CN"/>
              </w:rPr>
              <w:t>武陵源</w:t>
            </w:r>
            <w:r>
              <w:rPr>
                <w:rFonts w:hint="eastAsia" w:ascii="楷体_GB2312" w:hAnsi="楷体" w:eastAsia="楷体_GB2312"/>
                <w:b/>
                <w:bCs/>
                <w:sz w:val="32"/>
                <w:szCs w:val="32"/>
              </w:rPr>
              <w:t>区供销合作社联合社.公益</w:t>
            </w:r>
          </w:p>
        </w:tc>
      </w:tr>
    </w:tbl>
    <w:p/>
    <w:sectPr>
      <w:pgSz w:w="11906" w:h="16838"/>
      <w:pgMar w:top="136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YmExOGE4NTZkNmYyMmVlMGFlN2Y2ODNkNjQ2Y2EifQ=="/>
  </w:docVars>
  <w:rsids>
    <w:rsidRoot w:val="00DF4370"/>
    <w:rsid w:val="0023236A"/>
    <w:rsid w:val="00254F5C"/>
    <w:rsid w:val="00924988"/>
    <w:rsid w:val="00B22B01"/>
    <w:rsid w:val="00B26F59"/>
    <w:rsid w:val="00BD1EF8"/>
    <w:rsid w:val="00DF4370"/>
    <w:rsid w:val="00EB1FF1"/>
    <w:rsid w:val="04BA7066"/>
    <w:rsid w:val="5FAF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批注框文本 Char"/>
    <w:basedOn w:val="5"/>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457</Words>
  <Characters>2607</Characters>
  <Lines>21</Lines>
  <Paragraphs>6</Paragraphs>
  <TotalTime>0</TotalTime>
  <ScaleCrop>false</ScaleCrop>
  <LinksUpToDate>false</LinksUpToDate>
  <CharactersWithSpaces>3058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2024-01-26T02:54:00Z</dcterms:created>
  <dc:creator>供销联社</dc:creator>
  <cp:lastModifiedBy>x,y</cp:lastModifiedBy>
  <cp:lastPrinted>2024-01-26T06:46:00Z</cp:lastPrinted>
  <dcterms:modified xsi:type="dcterms:W3CDTF">2024-02-02T08:31:16Z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720132394AE347D6A4318A4DA494E50E_12</vt:lpwstr>
  </property>
</Properties>
</file>